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4"/>
        <w:rPr>
          <w:rFonts w:ascii="Times New Roman"/>
          <w:sz w:val="20"/>
        </w:rPr>
      </w:pPr>
      <w:r>
        <w:rPr>
          <w:rFonts w:ascii="Times New Roman"/>
          <w:sz w:val="20"/>
        </w:rPr>
        <w:drawing>
          <wp:inline distT="0" distB="0" distL="0" distR="0">
            <wp:extent cx="3724038" cy="52425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724038" cy="524255"/>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3"/>
        </w:rPr>
      </w:pPr>
      <w:r>
        <w:rPr/>
        <w:drawing>
          <wp:anchor distT="0" distB="0" distL="0" distR="0" allowOverlap="1" layoutInCell="1" locked="0" behindDoc="0" simplePos="0" relativeHeight="0">
            <wp:simplePos x="0" y="0"/>
            <wp:positionH relativeFrom="page">
              <wp:posOffset>568959</wp:posOffset>
            </wp:positionH>
            <wp:positionV relativeFrom="paragraph">
              <wp:posOffset>126160</wp:posOffset>
            </wp:positionV>
            <wp:extent cx="6516145" cy="3798093"/>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516145" cy="3798093"/>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1"/>
        <w:rPr>
          <w:rFonts w:ascii="Times New Roman"/>
          <w:sz w:val="26"/>
        </w:rPr>
      </w:pPr>
    </w:p>
    <w:p>
      <w:pPr>
        <w:spacing w:before="100"/>
        <w:ind w:left="0" w:right="113" w:firstLine="0"/>
        <w:jc w:val="right"/>
        <w:rPr>
          <w:sz w:val="12"/>
        </w:rPr>
      </w:pPr>
      <w:r>
        <w:rPr>
          <w:color w:val="6C6362"/>
          <w:sz w:val="12"/>
        </w:rPr>
        <w:t>PI COMMUNICATIONS FOR USAID PRP</w:t>
      </w:r>
    </w:p>
    <w:p>
      <w:pPr>
        <w:pStyle w:val="BodyText"/>
        <w:rPr>
          <w:sz w:val="14"/>
        </w:rPr>
      </w:pPr>
    </w:p>
    <w:p>
      <w:pPr>
        <w:pStyle w:val="BodyText"/>
        <w:rPr>
          <w:sz w:val="14"/>
        </w:rPr>
      </w:pPr>
    </w:p>
    <w:p>
      <w:pPr>
        <w:pStyle w:val="BodyText"/>
        <w:spacing w:before="5"/>
        <w:rPr>
          <w:sz w:val="12"/>
        </w:rPr>
      </w:pPr>
    </w:p>
    <w:p>
      <w:pPr>
        <w:pStyle w:val="Heading1"/>
        <w:ind w:left="740"/>
      </w:pPr>
      <w:r>
        <w:rPr>
          <w:color w:val="C21139"/>
        </w:rPr>
        <w:t>QUARTERLY REPORT NO. 18</w:t>
      </w:r>
    </w:p>
    <w:p>
      <w:pPr>
        <w:pStyle w:val="BodyText"/>
        <w:spacing w:before="11"/>
        <w:rPr>
          <w:sz w:val="73"/>
        </w:rPr>
      </w:pPr>
    </w:p>
    <w:p>
      <w:pPr>
        <w:pStyle w:val="Heading2"/>
      </w:pPr>
      <w:r>
        <w:rPr>
          <w:color w:val="6C6362"/>
        </w:rPr>
        <w:t>Property Rights Program (PRP)</w:t>
      </w:r>
    </w:p>
    <w:p>
      <w:pPr>
        <w:spacing w:line="463" w:lineRule="exact" w:before="0"/>
        <w:ind w:left="740" w:right="0" w:firstLine="0"/>
        <w:jc w:val="left"/>
        <w:rPr>
          <w:sz w:val="40"/>
        </w:rPr>
      </w:pPr>
      <w:r>
        <w:rPr>
          <w:color w:val="6C6362"/>
          <w:sz w:val="40"/>
        </w:rPr>
        <w:t>FY 2018</w:t>
      </w:r>
    </w:p>
    <w:p>
      <w:pPr>
        <w:spacing w:line="464" w:lineRule="exact" w:before="0"/>
        <w:ind w:left="740" w:right="0" w:firstLine="0"/>
        <w:jc w:val="left"/>
        <w:rPr>
          <w:sz w:val="40"/>
        </w:rPr>
      </w:pPr>
      <w:r>
        <w:rPr>
          <w:color w:val="6C6362"/>
          <w:sz w:val="40"/>
        </w:rPr>
        <w:t>(July 1 – September 30, 2018)</w:t>
      </w:r>
    </w:p>
    <w:p>
      <w:pPr>
        <w:pStyle w:val="BodyText"/>
        <w:rPr>
          <w:sz w:val="46"/>
        </w:rPr>
      </w:pPr>
    </w:p>
    <w:p>
      <w:pPr>
        <w:spacing w:before="311"/>
        <w:ind w:left="740" w:right="0" w:firstLine="0"/>
        <w:jc w:val="left"/>
        <w:rPr>
          <w:sz w:val="40"/>
        </w:rPr>
      </w:pPr>
      <w:r>
        <w:rPr>
          <w:color w:val="6C6362"/>
          <w:sz w:val="40"/>
        </w:rPr>
        <w:t>OCTOBER 2018</w:t>
      </w:r>
    </w:p>
    <w:p>
      <w:pPr>
        <w:pStyle w:val="BodyText"/>
        <w:rPr>
          <w:sz w:val="20"/>
        </w:rPr>
      </w:pPr>
    </w:p>
    <w:p>
      <w:pPr>
        <w:pStyle w:val="BodyText"/>
        <w:spacing w:before="1"/>
        <w:rPr>
          <w:sz w:val="20"/>
        </w:rPr>
      </w:pPr>
    </w:p>
    <w:p>
      <w:pPr>
        <w:spacing w:line="185" w:lineRule="exact" w:before="101"/>
        <w:ind w:left="740" w:right="0" w:firstLine="0"/>
        <w:jc w:val="left"/>
        <w:rPr>
          <w:sz w:val="16"/>
        </w:rPr>
      </w:pPr>
      <w:r>
        <w:rPr>
          <w:color w:val="6C6362"/>
          <w:sz w:val="16"/>
        </w:rPr>
        <w:t>DISCLAIMER</w:t>
      </w:r>
    </w:p>
    <w:p>
      <w:pPr>
        <w:spacing w:before="0"/>
        <w:ind w:left="740" w:right="1933" w:firstLine="0"/>
        <w:jc w:val="left"/>
        <w:rPr>
          <w:sz w:val="16"/>
        </w:rPr>
      </w:pPr>
      <w:r>
        <w:rPr>
          <w:color w:val="6C6362"/>
          <w:sz w:val="16"/>
        </w:rPr>
        <w:t>The author’s views expressed in this publication do not necessarily reflect the views of the United States Agency for International Development or the United States Government.</w:t>
      </w:r>
    </w:p>
    <w:p>
      <w:pPr>
        <w:spacing w:after="0"/>
        <w:jc w:val="left"/>
        <w:rPr>
          <w:sz w:val="16"/>
        </w:rPr>
        <w:sectPr>
          <w:type w:val="continuous"/>
          <w:pgSz w:w="11910" w:h="16840"/>
          <w:pgMar w:top="980" w:bottom="280" w:left="700" w:right="100"/>
        </w:sectPr>
      </w:pPr>
    </w:p>
    <w:p>
      <w:pPr>
        <w:spacing w:before="82"/>
        <w:ind w:left="740" w:right="0" w:firstLine="0"/>
        <w:jc w:val="left"/>
        <w:rPr>
          <w:sz w:val="56"/>
        </w:rPr>
      </w:pPr>
      <w:r>
        <w:rPr>
          <w:color w:val="6C6362"/>
          <w:sz w:val="56"/>
        </w:rPr>
        <w:t>QUARTERLY REPORT NO. 18</w:t>
      </w:r>
    </w:p>
    <w:p>
      <w:pPr>
        <w:pStyle w:val="BodyText"/>
        <w:spacing w:before="4"/>
        <w:rPr>
          <w:sz w:val="74"/>
        </w:rPr>
      </w:pPr>
    </w:p>
    <w:p>
      <w:pPr>
        <w:pStyle w:val="Heading2"/>
      </w:pPr>
      <w:r>
        <w:rPr>
          <w:color w:val="6C6362"/>
        </w:rPr>
        <w:t>Property Rights Program (PRP)</w:t>
      </w:r>
    </w:p>
    <w:p>
      <w:pPr>
        <w:spacing w:line="463" w:lineRule="exact" w:before="0"/>
        <w:ind w:left="740" w:right="0" w:firstLine="0"/>
        <w:jc w:val="left"/>
        <w:rPr>
          <w:sz w:val="40"/>
        </w:rPr>
      </w:pPr>
      <w:r>
        <w:rPr>
          <w:color w:val="6C6362"/>
          <w:sz w:val="40"/>
        </w:rPr>
        <w:t>FY 2018</w:t>
      </w:r>
    </w:p>
    <w:p>
      <w:pPr>
        <w:spacing w:line="464" w:lineRule="exact" w:before="0"/>
        <w:ind w:left="740" w:right="0" w:firstLine="0"/>
        <w:jc w:val="left"/>
        <w:rPr>
          <w:sz w:val="40"/>
        </w:rPr>
      </w:pPr>
      <w:r>
        <w:rPr>
          <w:color w:val="6C6362"/>
          <w:sz w:val="40"/>
        </w:rPr>
        <w:t>(July 1 – September 30, 2018)</w:t>
      </w:r>
    </w:p>
    <w:p>
      <w:pPr>
        <w:pStyle w:val="BodyText"/>
        <w:rPr>
          <w:sz w:val="46"/>
        </w:rPr>
      </w:pPr>
    </w:p>
    <w:p>
      <w:pPr>
        <w:spacing w:before="312"/>
        <w:ind w:left="740" w:right="0" w:firstLine="0"/>
        <w:jc w:val="left"/>
        <w:rPr>
          <w:sz w:val="40"/>
        </w:rPr>
      </w:pPr>
      <w:r>
        <w:rPr>
          <w:color w:val="6C6362"/>
          <w:sz w:val="40"/>
        </w:rPr>
        <w:t>OCTOBER 2018</w:t>
      </w:r>
    </w:p>
    <w:p>
      <w:pPr>
        <w:pStyle w:val="BodyText"/>
        <w:rPr>
          <w:sz w:val="46"/>
        </w:rPr>
      </w:pPr>
    </w:p>
    <w:p>
      <w:pPr>
        <w:pStyle w:val="BodyText"/>
        <w:rPr>
          <w:sz w:val="46"/>
        </w:rPr>
      </w:pPr>
    </w:p>
    <w:p>
      <w:pPr>
        <w:pStyle w:val="Heading5"/>
        <w:spacing w:before="331"/>
      </w:pPr>
      <w:r>
        <w:rPr>
          <w:color w:val="6C6362"/>
        </w:rPr>
        <w:t>This report was prepared by:</w:t>
      </w:r>
    </w:p>
    <w:p>
      <w:pPr>
        <w:pStyle w:val="BodyText"/>
        <w:spacing w:line="255" w:lineRule="exact" w:before="1"/>
        <w:ind w:left="740"/>
      </w:pPr>
      <w:r>
        <w:rPr>
          <w:color w:val="6C6362"/>
        </w:rPr>
        <w:t>Tetra Tech</w:t>
      </w:r>
    </w:p>
    <w:p>
      <w:pPr>
        <w:pStyle w:val="BodyText"/>
        <w:ind w:left="740" w:right="7439"/>
      </w:pPr>
      <w:r>
        <w:rPr>
          <w:color w:val="6C6362"/>
        </w:rPr>
        <w:t>159 Bank Street, Suite 300 Burlington, Vermont 05401 USA Tel: (802) 495-0282</w:t>
      </w:r>
    </w:p>
    <w:p>
      <w:pPr>
        <w:pStyle w:val="BodyText"/>
        <w:spacing w:before="1"/>
        <w:ind w:left="740"/>
      </w:pPr>
      <w:r>
        <w:rPr>
          <w:color w:val="6C6362"/>
        </w:rPr>
        <w:t>E-Mail: </w:t>
      </w:r>
      <w:hyperlink r:id="rId7">
        <w:r>
          <w:rPr>
            <w:color w:val="6C6362"/>
          </w:rPr>
          <w:t>international.development@tetratech.com</w:t>
        </w:r>
      </w:hyperlink>
    </w:p>
    <w:p>
      <w:pPr>
        <w:pStyle w:val="BodyText"/>
        <w:rPr>
          <w:sz w:val="26"/>
        </w:rPr>
      </w:pPr>
    </w:p>
    <w:p>
      <w:pPr>
        <w:pStyle w:val="Heading5"/>
        <w:spacing w:before="218"/>
      </w:pPr>
      <w:r>
        <w:rPr>
          <w:color w:val="6C6362"/>
        </w:rPr>
        <w:t>Tetra Tech Contacts:</w:t>
      </w: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4"/>
        <w:gridCol w:w="4629"/>
      </w:tblGrid>
      <w:tr>
        <w:trPr>
          <w:trHeight w:val="1531" w:hRule="atLeast"/>
        </w:trPr>
        <w:tc>
          <w:tcPr>
            <w:tcW w:w="4144" w:type="dxa"/>
          </w:tcPr>
          <w:p>
            <w:pPr>
              <w:pStyle w:val="TableParagraph"/>
              <w:spacing w:line="271" w:lineRule="exact"/>
              <w:ind w:left="200"/>
              <w:rPr>
                <w:sz w:val="24"/>
              </w:rPr>
            </w:pPr>
            <w:r>
              <w:rPr>
                <w:color w:val="6C6362"/>
                <w:sz w:val="24"/>
              </w:rPr>
              <w:t>Brian Kemple, Chief of Party</w:t>
            </w:r>
          </w:p>
          <w:p>
            <w:pPr>
              <w:pStyle w:val="TableParagraph"/>
              <w:ind w:left="200" w:right="216"/>
              <w:rPr>
                <w:sz w:val="24"/>
              </w:rPr>
            </w:pPr>
            <w:r>
              <w:rPr>
                <w:color w:val="6C6362"/>
                <w:sz w:val="24"/>
              </w:rPr>
              <w:t>Bedri Pejani Street, Building 3, Floor 3 10000 Pristina, Kosovo</w:t>
            </w:r>
          </w:p>
          <w:p>
            <w:pPr>
              <w:pStyle w:val="TableParagraph"/>
              <w:ind w:left="200"/>
              <w:rPr>
                <w:sz w:val="24"/>
              </w:rPr>
            </w:pPr>
            <w:r>
              <w:rPr>
                <w:color w:val="6C6362"/>
                <w:sz w:val="24"/>
              </w:rPr>
              <w:t>Tel: +381 (0)38 220 707 Ext.</w:t>
            </w:r>
            <w:r>
              <w:rPr>
                <w:color w:val="6C6362"/>
                <w:spacing w:val="-5"/>
                <w:sz w:val="24"/>
              </w:rPr>
              <w:t> </w:t>
            </w:r>
            <w:r>
              <w:rPr>
                <w:color w:val="6C6362"/>
                <w:sz w:val="24"/>
              </w:rPr>
              <w:t>112</w:t>
            </w:r>
          </w:p>
          <w:p>
            <w:pPr>
              <w:pStyle w:val="TableParagraph"/>
              <w:ind w:left="200"/>
              <w:rPr>
                <w:sz w:val="24"/>
              </w:rPr>
            </w:pPr>
            <w:r>
              <w:rPr>
                <w:color w:val="6C6362"/>
                <w:sz w:val="24"/>
              </w:rPr>
              <w:t>Email:</w:t>
            </w:r>
            <w:r>
              <w:rPr>
                <w:color w:val="6C6362"/>
                <w:spacing w:val="-19"/>
                <w:sz w:val="24"/>
              </w:rPr>
              <w:t> </w:t>
            </w:r>
            <w:hyperlink r:id="rId8">
              <w:r>
                <w:rPr>
                  <w:color w:val="6C6362"/>
                  <w:sz w:val="24"/>
                </w:rPr>
                <w:t>brian.kemple@prpkos.com</w:t>
              </w:r>
            </w:hyperlink>
          </w:p>
        </w:tc>
        <w:tc>
          <w:tcPr>
            <w:tcW w:w="4629" w:type="dxa"/>
          </w:tcPr>
          <w:p>
            <w:pPr>
              <w:pStyle w:val="TableParagraph"/>
              <w:rPr>
                <w:rFonts w:ascii="Times New Roman"/>
                <w:sz w:val="24"/>
              </w:rPr>
            </w:pPr>
          </w:p>
        </w:tc>
      </w:tr>
      <w:tr>
        <w:trPr>
          <w:trHeight w:val="1810" w:hRule="atLeast"/>
        </w:trPr>
        <w:tc>
          <w:tcPr>
            <w:tcW w:w="4144" w:type="dxa"/>
          </w:tcPr>
          <w:p>
            <w:pPr>
              <w:pStyle w:val="TableParagraph"/>
              <w:spacing w:before="132"/>
              <w:ind w:left="200" w:right="529"/>
              <w:rPr>
                <w:sz w:val="24"/>
              </w:rPr>
            </w:pPr>
            <w:r>
              <w:rPr>
                <w:color w:val="6C6362"/>
                <w:sz w:val="24"/>
              </w:rPr>
              <w:t>John (Jack) Keefe, Senior Technical Advisor/Manager</w:t>
            </w:r>
          </w:p>
          <w:p>
            <w:pPr>
              <w:pStyle w:val="TableParagraph"/>
              <w:spacing w:line="280" w:lineRule="atLeast"/>
              <w:ind w:left="200" w:right="734"/>
              <w:rPr>
                <w:sz w:val="24"/>
              </w:rPr>
            </w:pPr>
            <w:r>
              <w:rPr>
                <w:color w:val="6C6362"/>
                <w:sz w:val="24"/>
              </w:rPr>
              <w:t>159 Bank Street, Suite 300 Burlington, Vermont 05401 USA Telephone: (802) 495-0557 Email: </w:t>
            </w:r>
            <w:hyperlink r:id="rId9">
              <w:r>
                <w:rPr>
                  <w:color w:val="6C6362"/>
                  <w:sz w:val="24"/>
                </w:rPr>
                <w:t>jack.keefe@tetratech.com</w:t>
              </w:r>
            </w:hyperlink>
          </w:p>
        </w:tc>
        <w:tc>
          <w:tcPr>
            <w:tcW w:w="4629" w:type="dxa"/>
          </w:tcPr>
          <w:p>
            <w:pPr>
              <w:pStyle w:val="TableParagraph"/>
              <w:spacing w:before="132"/>
              <w:ind w:left="549" w:right="698"/>
              <w:rPr>
                <w:sz w:val="24"/>
              </w:rPr>
            </w:pPr>
            <w:r>
              <w:rPr>
                <w:color w:val="6C6362"/>
                <w:sz w:val="24"/>
              </w:rPr>
              <w:t>Thomas McCann, Project Manager 159 Bank Street, Suite 300</w:t>
            </w:r>
          </w:p>
          <w:p>
            <w:pPr>
              <w:pStyle w:val="TableParagraph"/>
              <w:spacing w:before="1"/>
              <w:ind w:left="549"/>
              <w:rPr>
                <w:sz w:val="24"/>
              </w:rPr>
            </w:pPr>
            <w:r>
              <w:rPr>
                <w:color w:val="6C6362"/>
                <w:sz w:val="24"/>
              </w:rPr>
              <w:t>Burlington, Vermont 05401</w:t>
            </w:r>
          </w:p>
          <w:p>
            <w:pPr>
              <w:pStyle w:val="TableParagraph"/>
              <w:ind w:left="549"/>
              <w:rPr>
                <w:sz w:val="24"/>
              </w:rPr>
            </w:pPr>
            <w:r>
              <w:rPr>
                <w:color w:val="6C6362"/>
                <w:sz w:val="24"/>
              </w:rPr>
              <w:t>Tel: (802) 495-0552</w:t>
            </w:r>
          </w:p>
          <w:p>
            <w:pPr>
              <w:pStyle w:val="TableParagraph"/>
              <w:ind w:left="549"/>
              <w:rPr>
                <w:sz w:val="24"/>
              </w:rPr>
            </w:pPr>
            <w:r>
              <w:rPr>
                <w:color w:val="6C6362"/>
                <w:sz w:val="24"/>
              </w:rPr>
              <w:t>Email: </w:t>
            </w:r>
            <w:hyperlink r:id="rId10">
              <w:r>
                <w:rPr>
                  <w:color w:val="6C6362"/>
                  <w:sz w:val="24"/>
                </w:rPr>
                <w:t>Thomas.McCann@tetratech.com</w:t>
              </w:r>
            </w:hyperlink>
          </w:p>
        </w:tc>
      </w:tr>
    </w:tbl>
    <w:p>
      <w:pPr>
        <w:pStyle w:val="BodyText"/>
        <w:spacing w:before="11"/>
        <w:rPr>
          <w:b/>
          <w:sz w:val="23"/>
        </w:rPr>
      </w:pPr>
    </w:p>
    <w:p>
      <w:pPr>
        <w:pStyle w:val="BodyText"/>
        <w:spacing w:line="264" w:lineRule="auto"/>
        <w:ind w:left="740" w:right="1345"/>
      </w:pPr>
      <w:r>
        <w:rPr>
          <w:b/>
          <w:color w:val="6C6362"/>
        </w:rPr>
        <w:t>Cover Photo: </w:t>
      </w:r>
      <w:r>
        <w:rPr>
          <w:color w:val="6C6362"/>
        </w:rPr>
        <w:t>PRP has unveiled its publication, in Serbian and Albanian versions, of summaries of 144 key decisions of the European Court for Human Rights concerning property rights. By operation of the Kosovo Constitution, ECHR decisions are directly applicable in Kosovo; yet they are poorly known there, because they are usually issued in French and English only.  The cover photo shows the backdrop used on the screen at the visibility event that PRP held to present the</w:t>
      </w:r>
      <w:r>
        <w:rPr>
          <w:color w:val="6C6362"/>
          <w:spacing w:val="-25"/>
        </w:rPr>
        <w:t> </w:t>
      </w:r>
      <w:r>
        <w:rPr>
          <w:color w:val="6C6362"/>
        </w:rPr>
        <w:t>publication.</w:t>
      </w:r>
    </w:p>
    <w:p>
      <w:pPr>
        <w:spacing w:after="0" w:line="264" w:lineRule="auto"/>
        <w:sectPr>
          <w:pgSz w:w="11910" w:h="16840"/>
          <w:pgMar w:top="1280" w:bottom="280" w:left="700" w:right="100"/>
        </w:sectPr>
      </w:pPr>
    </w:p>
    <w:p>
      <w:pPr>
        <w:spacing w:before="72"/>
        <w:ind w:left="740" w:right="0" w:firstLine="0"/>
        <w:jc w:val="left"/>
        <w:rPr>
          <w:sz w:val="28"/>
        </w:rPr>
      </w:pPr>
      <w:r>
        <w:rPr>
          <w:color w:val="B90C2E"/>
          <w:sz w:val="28"/>
        </w:rPr>
        <w:t>TABLE OF CONTENTS</w:t>
      </w:r>
    </w:p>
    <w:sdt>
      <w:sdtPr>
        <w:docPartObj>
          <w:docPartGallery w:val="Table of Contents"/>
          <w:docPartUnique/>
        </w:docPartObj>
      </w:sdtPr>
      <w:sdtEndPr/>
      <w:sdtContent>
        <w:p>
          <w:pPr>
            <w:pStyle w:val="TOC1"/>
            <w:tabs>
              <w:tab w:pos="9447" w:val="left" w:leader="dot"/>
            </w:tabs>
            <w:spacing w:before="96"/>
          </w:pPr>
          <w:hyperlink w:history="true" w:anchor="_bookmark0">
            <w:r>
              <w:rPr>
                <w:color w:val="6C6362"/>
              </w:rPr>
              <w:t>ACRONYMS</w:t>
            </w:r>
            <w:r>
              <w:rPr>
                <w:color w:val="6C6362"/>
                <w:spacing w:val="-3"/>
              </w:rPr>
              <w:t> </w:t>
            </w:r>
            <w:r>
              <w:rPr>
                <w:color w:val="6C6362"/>
              </w:rPr>
              <w:t>AND</w:t>
            </w:r>
            <w:r>
              <w:rPr>
                <w:color w:val="6C6362"/>
                <w:spacing w:val="-2"/>
              </w:rPr>
              <w:t> </w:t>
            </w:r>
            <w:r>
              <w:rPr>
                <w:color w:val="6C6362"/>
              </w:rPr>
              <w:t>ABBREVIATIONS</w:t>
              <w:tab/>
              <w:t>3</w:t>
            </w:r>
          </w:hyperlink>
        </w:p>
        <w:p>
          <w:pPr>
            <w:pStyle w:val="TOC1"/>
            <w:tabs>
              <w:tab w:pos="9447" w:val="left" w:leader="dot"/>
            </w:tabs>
            <w:spacing w:before="37"/>
          </w:pPr>
          <w:hyperlink w:history="true" w:anchor="_bookmark1">
            <w:r>
              <w:rPr>
                <w:color w:val="6C6362"/>
              </w:rPr>
              <w:t>INTRODUCTION</w:t>
            </w:r>
            <w:r>
              <w:rPr>
                <w:color w:val="6C6362"/>
                <w:spacing w:val="-4"/>
              </w:rPr>
              <w:t> </w:t>
            </w:r>
            <w:r>
              <w:rPr>
                <w:color w:val="6C6362"/>
              </w:rPr>
              <w:t>AND</w:t>
            </w:r>
            <w:r>
              <w:rPr>
                <w:color w:val="6C6362"/>
                <w:spacing w:val="-2"/>
              </w:rPr>
              <w:t> </w:t>
            </w:r>
            <w:r>
              <w:rPr>
                <w:color w:val="6C6362"/>
              </w:rPr>
              <w:t>BACKGROUND</w:t>
              <w:tab/>
              <w:t>5</w:t>
            </w:r>
          </w:hyperlink>
        </w:p>
        <w:p>
          <w:pPr>
            <w:pStyle w:val="TOC1"/>
            <w:tabs>
              <w:tab w:pos="9447" w:val="left" w:leader="dot"/>
            </w:tabs>
            <w:spacing w:before="41"/>
          </w:pPr>
          <w:hyperlink w:history="true" w:anchor="_bookmark2">
            <w:r>
              <w:rPr>
                <w:color w:val="6C6362"/>
              </w:rPr>
              <w:t>EXECUTIVE</w:t>
            </w:r>
            <w:r>
              <w:rPr>
                <w:color w:val="6C6362"/>
                <w:spacing w:val="-4"/>
              </w:rPr>
              <w:t> </w:t>
            </w:r>
            <w:r>
              <w:rPr>
                <w:color w:val="6C6362"/>
              </w:rPr>
              <w:t>SUMMARY</w:t>
              <w:tab/>
              <w:t>6</w:t>
            </w:r>
          </w:hyperlink>
        </w:p>
        <w:p>
          <w:pPr>
            <w:pStyle w:val="TOC3"/>
            <w:tabs>
              <w:tab w:pos="9459" w:val="left" w:leader="dot"/>
            </w:tabs>
            <w:spacing w:before="42"/>
          </w:pPr>
          <w:hyperlink w:history="true" w:anchor="_bookmark3">
            <w:r>
              <w:rPr>
                <w:color w:val="6C6362"/>
              </w:rPr>
              <w:t>INSTITUTIONALIZATION OF CASE FLOW</w:t>
            </w:r>
            <w:r>
              <w:rPr>
                <w:color w:val="6C6362"/>
                <w:spacing w:val="-12"/>
              </w:rPr>
              <w:t> </w:t>
            </w:r>
            <w:r>
              <w:rPr>
                <w:color w:val="6C6362"/>
              </w:rPr>
              <w:t>MANAGEMENT</w:t>
            </w:r>
            <w:r>
              <w:rPr>
                <w:color w:val="6C6362"/>
                <w:spacing w:val="-3"/>
              </w:rPr>
              <w:t> </w:t>
            </w:r>
            <w:r>
              <w:rPr>
                <w:color w:val="6C6362"/>
              </w:rPr>
              <w:t>REFORMS</w:t>
              <w:tab/>
              <w:t>7</w:t>
            </w:r>
          </w:hyperlink>
        </w:p>
        <w:p>
          <w:pPr>
            <w:pStyle w:val="TOC3"/>
            <w:tabs>
              <w:tab w:pos="9459" w:val="left" w:leader="dot"/>
            </w:tabs>
            <w:spacing w:line="240" w:lineRule="auto"/>
            <w:ind w:left="1604" w:right="1534" w:hanging="576"/>
          </w:pPr>
          <w:hyperlink w:history="true" w:anchor="_bookmark4">
            <w:r>
              <w:rPr>
                <w:color w:val="6C6362"/>
              </w:rPr>
              <w:t>SUMMARIES PUBLISHED IN ALBANIAN AND SERBIAN OF 144 DECISIONS OF THE</w:t>
            </w:r>
          </w:hyperlink>
          <w:r>
            <w:rPr>
              <w:color w:val="6C6362"/>
            </w:rPr>
            <w:t> </w:t>
          </w:r>
          <w:hyperlink w:history="true" w:anchor="_bookmark4">
            <w:r>
              <w:rPr>
                <w:color w:val="6C6362"/>
              </w:rPr>
              <w:t>EUROPEAN COURT OF HUMAN RIGHTS ON</w:t>
            </w:r>
            <w:r>
              <w:rPr>
                <w:color w:val="6C6362"/>
                <w:spacing w:val="-9"/>
              </w:rPr>
              <w:t> </w:t>
            </w:r>
            <w:r>
              <w:rPr>
                <w:color w:val="6C6362"/>
              </w:rPr>
              <w:t>PROPERTY</w:t>
            </w:r>
            <w:r>
              <w:rPr>
                <w:color w:val="6C6362"/>
                <w:spacing w:val="-2"/>
              </w:rPr>
              <w:t> </w:t>
            </w:r>
            <w:r>
              <w:rPr>
                <w:color w:val="6C6362"/>
              </w:rPr>
              <w:t>RIGHTS</w:t>
              <w:tab/>
            </w:r>
            <w:r>
              <w:rPr>
                <w:color w:val="6C6362"/>
                <w:spacing w:val="-17"/>
              </w:rPr>
              <w:t>8</w:t>
            </w:r>
          </w:hyperlink>
        </w:p>
        <w:p>
          <w:pPr>
            <w:pStyle w:val="TOC3"/>
            <w:tabs>
              <w:tab w:pos="9459" w:val="left" w:leader="dot"/>
            </w:tabs>
            <w:spacing w:before="1"/>
          </w:pPr>
          <w:hyperlink w:history="true" w:anchor="_bookmark5">
            <w:r>
              <w:rPr>
                <w:color w:val="6C6362"/>
              </w:rPr>
              <w:t>DEVELOPING TRAINING MODULES ON</w:t>
            </w:r>
            <w:r>
              <w:rPr>
                <w:color w:val="6C6362"/>
                <w:spacing w:val="-5"/>
              </w:rPr>
              <w:t> </w:t>
            </w:r>
            <w:r>
              <w:rPr>
                <w:color w:val="6C6362"/>
              </w:rPr>
              <w:t>LEGAL</w:t>
            </w:r>
            <w:r>
              <w:rPr>
                <w:color w:val="6C6362"/>
                <w:spacing w:val="-5"/>
              </w:rPr>
              <w:t> </w:t>
            </w:r>
            <w:r>
              <w:rPr>
                <w:color w:val="6C6362"/>
              </w:rPr>
              <w:t>TOPICS</w:t>
              <w:tab/>
              <w:t>8</w:t>
            </w:r>
          </w:hyperlink>
        </w:p>
        <w:p>
          <w:pPr>
            <w:pStyle w:val="TOC3"/>
            <w:tabs>
              <w:tab w:pos="9459" w:val="left" w:leader="dot"/>
            </w:tabs>
            <w:spacing w:line="240" w:lineRule="auto"/>
            <w:ind w:left="1604" w:right="1534" w:hanging="576"/>
          </w:pPr>
          <w:hyperlink w:history="true" w:anchor="_bookmark6">
            <w:r>
              <w:rPr>
                <w:color w:val="6C6362"/>
              </w:rPr>
              <w:t>INITIATIAVE LAUNCHED FOR MODERN NOTIFICATION PRACTICE THAT</w:t>
            </w:r>
          </w:hyperlink>
          <w:r>
            <w:rPr>
              <w:color w:val="6C6362"/>
            </w:rPr>
            <w:t> </w:t>
          </w:r>
          <w:hyperlink w:history="true" w:anchor="_bookmark6">
            <w:r>
              <w:rPr>
                <w:color w:val="6C6362"/>
              </w:rPr>
              <w:t>STRENGTHENS</w:t>
            </w:r>
            <w:r>
              <w:rPr>
                <w:color w:val="6C6362"/>
                <w:spacing w:val="-2"/>
              </w:rPr>
              <w:t> </w:t>
            </w:r>
            <w:r>
              <w:rPr>
                <w:color w:val="6C6362"/>
              </w:rPr>
              <w:t>DUE</w:t>
            </w:r>
            <w:r>
              <w:rPr>
                <w:color w:val="6C6362"/>
                <w:spacing w:val="-2"/>
              </w:rPr>
              <w:t> </w:t>
            </w:r>
            <w:r>
              <w:rPr>
                <w:color w:val="6C6362"/>
              </w:rPr>
              <w:t>PROCESS</w:t>
              <w:tab/>
            </w:r>
            <w:r>
              <w:rPr>
                <w:color w:val="6C6362"/>
                <w:spacing w:val="-17"/>
              </w:rPr>
              <w:t>8</w:t>
            </w:r>
          </w:hyperlink>
        </w:p>
        <w:p>
          <w:pPr>
            <w:pStyle w:val="TOC4"/>
            <w:tabs>
              <w:tab w:pos="9459" w:val="left" w:leader="dot"/>
            </w:tabs>
            <w:ind w:left="1316" w:right="0" w:firstLine="0"/>
          </w:pPr>
          <w:hyperlink w:history="true" w:anchor="_bookmark7">
            <w:r>
              <w:rPr>
                <w:color w:val="6C6362"/>
              </w:rPr>
              <w:t>PRP concludes successful series of regional roundtables</w:t>
            </w:r>
            <w:r>
              <w:rPr>
                <w:color w:val="6C6362"/>
                <w:spacing w:val="-16"/>
              </w:rPr>
              <w:t> </w:t>
            </w:r>
            <w:r>
              <w:rPr>
                <w:color w:val="6C6362"/>
              </w:rPr>
              <w:t>for</w:t>
            </w:r>
            <w:r>
              <w:rPr>
                <w:color w:val="6C6362"/>
                <w:spacing w:val="-2"/>
              </w:rPr>
              <w:t> </w:t>
            </w:r>
            <w:r>
              <w:rPr>
                <w:color w:val="6C6362"/>
              </w:rPr>
              <w:t>moc’s</w:t>
              <w:tab/>
              <w:t>9</w:t>
            </w:r>
          </w:hyperlink>
        </w:p>
        <w:p>
          <w:pPr>
            <w:pStyle w:val="TOC1"/>
            <w:tabs>
              <w:tab w:pos="9327" w:val="left" w:leader="dot"/>
            </w:tabs>
          </w:pPr>
          <w:hyperlink w:history="true" w:anchor="_bookmark8">
            <w:r>
              <w:rPr>
                <w:color w:val="6C6362"/>
              </w:rPr>
              <w:t>PROJECT</w:t>
            </w:r>
            <w:r>
              <w:rPr>
                <w:color w:val="6C6362"/>
                <w:spacing w:val="-3"/>
              </w:rPr>
              <w:t> </w:t>
            </w:r>
            <w:r>
              <w:rPr>
                <w:color w:val="6C6362"/>
              </w:rPr>
              <w:t>ACTIVITIES</w:t>
              <w:tab/>
              <w:t>11</w:t>
            </w:r>
          </w:hyperlink>
        </w:p>
        <w:p>
          <w:pPr>
            <w:pStyle w:val="TOC2"/>
            <w:tabs>
              <w:tab w:pos="9348" w:val="left" w:leader="dot"/>
            </w:tabs>
            <w:spacing w:line="255" w:lineRule="exact" w:before="43"/>
            <w:rPr>
              <w:b w:val="0"/>
            </w:rPr>
          </w:pPr>
          <w:hyperlink w:history="true" w:anchor="_bookmark9">
            <w:r>
              <w:rPr>
                <w:color w:val="6C6362"/>
              </w:rPr>
              <w:t>OBJECTIVE 1: BETTER COORDINATION AND</w:t>
            </w:r>
            <w:r>
              <w:rPr>
                <w:color w:val="6C6362"/>
                <w:spacing w:val="-19"/>
              </w:rPr>
              <w:t> </w:t>
            </w:r>
            <w:r>
              <w:rPr>
                <w:color w:val="6C6362"/>
              </w:rPr>
              <w:t>POLICY</w:t>
            </w:r>
            <w:r>
              <w:rPr>
                <w:color w:val="6C6362"/>
                <w:spacing w:val="-3"/>
              </w:rPr>
              <w:t> </w:t>
            </w:r>
            <w:r>
              <w:rPr>
                <w:color w:val="6C6362"/>
              </w:rPr>
              <w:t>PRIORITIES</w:t>
              <w:tab/>
            </w:r>
            <w:r>
              <w:rPr>
                <w:b w:val="0"/>
                <w:color w:val="6C6362"/>
              </w:rPr>
              <w:t>11</w:t>
            </w:r>
          </w:hyperlink>
        </w:p>
        <w:p>
          <w:pPr>
            <w:pStyle w:val="TOC4"/>
            <w:tabs>
              <w:tab w:pos="9348" w:val="left" w:leader="dot"/>
            </w:tabs>
          </w:pPr>
          <w:hyperlink w:history="true" w:anchor="_bookmark10">
            <w:r>
              <w:rPr>
                <w:color w:val="6C6362"/>
              </w:rPr>
              <w:t>Sub-Objective 1.2: Reform Legislation to Achieve NSPR Reform Objectives Developed and</w:t>
            </w:r>
          </w:hyperlink>
          <w:r>
            <w:rPr>
              <w:color w:val="6C6362"/>
            </w:rPr>
            <w:t> </w:t>
          </w:r>
          <w:hyperlink w:history="true" w:anchor="_bookmark10">
            <w:r>
              <w:rPr>
                <w:color w:val="6C6362"/>
              </w:rPr>
              <w:t>Implemented</w:t>
              <w:tab/>
            </w:r>
            <w:r>
              <w:rPr>
                <w:color w:val="6C6362"/>
                <w:spacing w:val="-9"/>
              </w:rPr>
              <w:t>13</w:t>
            </w:r>
          </w:hyperlink>
        </w:p>
        <w:p>
          <w:pPr>
            <w:pStyle w:val="TOC3"/>
            <w:tabs>
              <w:tab w:pos="9348" w:val="left" w:leader="dot"/>
            </w:tabs>
          </w:pPr>
          <w:hyperlink w:history="true" w:anchor="_bookmark11">
            <w:r>
              <w:rPr>
                <w:color w:val="6C6362"/>
              </w:rPr>
              <w:t>OBJECTIVE 2: IMPROVED COURT PROCESS RELATED TO</w:t>
            </w:r>
            <w:r>
              <w:rPr>
                <w:color w:val="6C6362"/>
                <w:spacing w:val="-15"/>
              </w:rPr>
              <w:t> </w:t>
            </w:r>
            <w:r>
              <w:rPr>
                <w:color w:val="6C6362"/>
              </w:rPr>
              <w:t>PROPERTY</w:t>
            </w:r>
            <w:r>
              <w:rPr>
                <w:color w:val="6C6362"/>
                <w:spacing w:val="-2"/>
              </w:rPr>
              <w:t> </w:t>
            </w:r>
            <w:r>
              <w:rPr>
                <w:color w:val="6C6362"/>
              </w:rPr>
              <w:t>CLAIMS</w:t>
              <w:tab/>
              <w:t>18</w:t>
            </w:r>
          </w:hyperlink>
        </w:p>
        <w:p>
          <w:pPr>
            <w:pStyle w:val="TOC3"/>
            <w:tabs>
              <w:tab w:pos="9348" w:val="left" w:leader="dot"/>
            </w:tabs>
            <w:spacing w:line="254" w:lineRule="exact"/>
          </w:pPr>
          <w:hyperlink w:history="true" w:anchor="_bookmark12">
            <w:r>
              <w:rPr>
                <w:color w:val="6C6362"/>
              </w:rPr>
              <w:t>SUB-OBJECTIVE 2.1: CASE FLOW MANAGEMENT</w:t>
            </w:r>
            <w:r>
              <w:rPr>
                <w:color w:val="6C6362"/>
                <w:spacing w:val="-14"/>
              </w:rPr>
              <w:t> </w:t>
            </w:r>
            <w:r>
              <w:rPr>
                <w:color w:val="6C6362"/>
              </w:rPr>
              <w:t>REFORMS</w:t>
            </w:r>
            <w:r>
              <w:rPr>
                <w:color w:val="6C6362"/>
                <w:spacing w:val="-4"/>
              </w:rPr>
              <w:t> </w:t>
            </w:r>
            <w:r>
              <w:rPr>
                <w:color w:val="6C6362"/>
              </w:rPr>
              <w:t>INSTITUTIONALIZED</w:t>
              <w:tab/>
              <w:t>18</w:t>
            </w:r>
          </w:hyperlink>
        </w:p>
        <w:p>
          <w:pPr>
            <w:pStyle w:val="TOC3"/>
            <w:tabs>
              <w:tab w:pos="9348" w:val="left" w:leader="dot"/>
            </w:tabs>
            <w:spacing w:line="240" w:lineRule="auto"/>
            <w:ind w:left="1604" w:right="1534" w:hanging="576"/>
          </w:pPr>
          <w:hyperlink w:history="true" w:anchor="_bookmark13">
            <w:r>
              <w:rPr>
                <w:color w:val="6C6362"/>
              </w:rPr>
              <w:t>SUB-OBJECTIVE 2.2: GUIDELINES DEVELOPED TO UNIFY JUDICIAL PRACTICE IN</w:t>
            </w:r>
          </w:hyperlink>
          <w:r>
            <w:rPr>
              <w:color w:val="6C6362"/>
            </w:rPr>
            <w:t> </w:t>
          </w:r>
          <w:hyperlink w:history="true" w:anchor="_bookmark13">
            <w:r>
              <w:rPr>
                <w:color w:val="6C6362"/>
              </w:rPr>
              <w:t>PROPERTY</w:t>
            </w:r>
            <w:r>
              <w:rPr>
                <w:color w:val="6C6362"/>
                <w:spacing w:val="-2"/>
              </w:rPr>
              <w:t> </w:t>
            </w:r>
            <w:r>
              <w:rPr>
                <w:color w:val="6C6362"/>
              </w:rPr>
              <w:t>RIGHTS</w:t>
            </w:r>
            <w:r>
              <w:rPr>
                <w:color w:val="6C6362"/>
                <w:spacing w:val="-2"/>
              </w:rPr>
              <w:t> </w:t>
            </w:r>
            <w:r>
              <w:rPr>
                <w:color w:val="6C6362"/>
              </w:rPr>
              <w:t>DISPUTES</w:t>
              <w:tab/>
            </w:r>
            <w:r>
              <w:rPr>
                <w:color w:val="6C6362"/>
                <w:spacing w:val="-9"/>
              </w:rPr>
              <w:t>18</w:t>
            </w:r>
          </w:hyperlink>
        </w:p>
        <w:p>
          <w:pPr>
            <w:pStyle w:val="TOC3"/>
            <w:tabs>
              <w:tab w:pos="9348" w:val="left" w:leader="dot"/>
            </w:tabs>
            <w:spacing w:before="1"/>
          </w:pPr>
          <w:hyperlink w:history="true" w:anchor="_bookmark14">
            <w:r>
              <w:rPr>
                <w:color w:val="6C6362"/>
              </w:rPr>
              <w:t>SUB-OBJECTIVE 2.3: EXPEDITED</w:t>
            </w:r>
            <w:r>
              <w:rPr>
                <w:color w:val="6C6362"/>
                <w:spacing w:val="-10"/>
              </w:rPr>
              <w:t> </w:t>
            </w:r>
            <w:r>
              <w:rPr>
                <w:color w:val="6C6362"/>
              </w:rPr>
              <w:t>PROCEDURES</w:t>
            </w:r>
            <w:r>
              <w:rPr>
                <w:color w:val="6C6362"/>
                <w:spacing w:val="-2"/>
              </w:rPr>
              <w:t> </w:t>
            </w:r>
            <w:r>
              <w:rPr>
                <w:color w:val="6C6362"/>
              </w:rPr>
              <w:t>DEVELOPED</w:t>
              <w:tab/>
              <w:t>21</w:t>
            </w:r>
          </w:hyperlink>
        </w:p>
        <w:p>
          <w:pPr>
            <w:pStyle w:val="TOC3"/>
            <w:tabs>
              <w:tab w:pos="9348" w:val="left" w:leader="dot"/>
            </w:tabs>
          </w:pPr>
          <w:hyperlink w:history="true" w:anchor="_bookmark15">
            <w:r>
              <w:rPr>
                <w:color w:val="6C6362"/>
              </w:rPr>
              <w:t>OBJECTIVE 3: ENHANCED WOMEN’S RIGHTS TO USE PROPERTY</w:t>
            </w:r>
            <w:r>
              <w:rPr>
                <w:color w:val="6C6362"/>
                <w:spacing w:val="-11"/>
              </w:rPr>
              <w:t> </w:t>
            </w:r>
            <w:r>
              <w:rPr>
                <w:color w:val="6C6362"/>
              </w:rPr>
              <w:t>IN</w:t>
            </w:r>
            <w:r>
              <w:rPr>
                <w:color w:val="6C6362"/>
                <w:spacing w:val="-2"/>
              </w:rPr>
              <w:t> </w:t>
            </w:r>
            <w:r>
              <w:rPr>
                <w:color w:val="6C6362"/>
              </w:rPr>
              <w:t>PRACTICE</w:t>
              <w:tab/>
              <w:t>23</w:t>
            </w:r>
          </w:hyperlink>
        </w:p>
        <w:p>
          <w:pPr>
            <w:pStyle w:val="TOC3"/>
            <w:tabs>
              <w:tab w:pos="9348" w:val="left" w:leader="dot"/>
            </w:tabs>
            <w:spacing w:line="240" w:lineRule="auto" w:before="2"/>
            <w:ind w:left="1604" w:right="1534" w:hanging="576"/>
          </w:pPr>
          <w:hyperlink w:history="true" w:anchor="_bookmark16">
            <w:r>
              <w:rPr>
                <w:color w:val="6C6362"/>
              </w:rPr>
              <w:t>SUB-OBJECTIVE 3.2: CONDUCT TRAININGS FOR JUDGES ON WOMEN’S PROPERTY</w:t>
            </w:r>
          </w:hyperlink>
          <w:r>
            <w:rPr>
              <w:color w:val="6C6362"/>
            </w:rPr>
            <w:t> </w:t>
          </w:r>
          <w:hyperlink w:history="true" w:anchor="_bookmark16">
            <w:r>
              <w:rPr>
                <w:color w:val="6C6362"/>
              </w:rPr>
              <w:t>RIGHTS ISSUES AND</w:t>
            </w:r>
            <w:r>
              <w:rPr>
                <w:color w:val="6C6362"/>
                <w:spacing w:val="-4"/>
              </w:rPr>
              <w:t> </w:t>
            </w:r>
            <w:r>
              <w:rPr>
                <w:color w:val="6C6362"/>
              </w:rPr>
              <w:t>GENDER SENSITIVITY</w:t>
              <w:tab/>
            </w:r>
            <w:r>
              <w:rPr>
                <w:color w:val="6C6362"/>
                <w:spacing w:val="-9"/>
              </w:rPr>
              <w:t>25</w:t>
            </w:r>
          </w:hyperlink>
        </w:p>
        <w:p>
          <w:pPr>
            <w:pStyle w:val="TOC3"/>
            <w:tabs>
              <w:tab w:pos="9348" w:val="left" w:leader="dot"/>
            </w:tabs>
            <w:spacing w:line="242" w:lineRule="auto"/>
            <w:ind w:left="1604" w:right="1534" w:hanging="576"/>
          </w:pPr>
          <w:hyperlink w:history="true" w:anchor="_bookmark17">
            <w:r>
              <w:rPr>
                <w:color w:val="6C6362"/>
              </w:rPr>
              <w:t>OBJECTIVE 4: IMPROVED COMMUNICATION, ACCESS TO INFORMATION AND</w:t>
            </w:r>
          </w:hyperlink>
          <w:r>
            <w:rPr>
              <w:color w:val="6C6362"/>
            </w:rPr>
            <w:t> </w:t>
          </w:r>
          <w:hyperlink w:history="true" w:anchor="_bookmark17">
            <w:r>
              <w:rPr>
                <w:color w:val="6C6362"/>
              </w:rPr>
              <w:t>UNDERSTANDING OF</w:t>
            </w:r>
            <w:r>
              <w:rPr>
                <w:color w:val="6C6362"/>
                <w:spacing w:val="-5"/>
              </w:rPr>
              <w:t> </w:t>
            </w:r>
            <w:r>
              <w:rPr>
                <w:color w:val="6C6362"/>
              </w:rPr>
              <w:t>PROPERTY</w:t>
            </w:r>
            <w:r>
              <w:rPr>
                <w:color w:val="6C6362"/>
                <w:spacing w:val="-2"/>
              </w:rPr>
              <w:t> </w:t>
            </w:r>
            <w:r>
              <w:rPr>
                <w:color w:val="6C6362"/>
              </w:rPr>
              <w:t>RIGHTS</w:t>
              <w:tab/>
            </w:r>
            <w:r>
              <w:rPr>
                <w:color w:val="6C6362"/>
                <w:spacing w:val="-9"/>
              </w:rPr>
              <w:t>26</w:t>
            </w:r>
          </w:hyperlink>
        </w:p>
        <w:p>
          <w:pPr>
            <w:pStyle w:val="TOC4"/>
            <w:tabs>
              <w:tab w:pos="9348" w:val="left" w:leader="dot"/>
            </w:tabs>
          </w:pPr>
          <w:hyperlink w:history="true" w:anchor="_bookmark18">
            <w:r>
              <w:rPr>
                <w:color w:val="6C6362"/>
              </w:rPr>
              <w:t>Sub-Objective 4.1: Improved Municipal Service Delivery and Dissemination of Legal</w:t>
            </w:r>
          </w:hyperlink>
          <w:r>
            <w:rPr>
              <w:color w:val="6C6362"/>
            </w:rPr>
            <w:t> </w:t>
          </w:r>
          <w:hyperlink w:history="true" w:anchor="_bookmark18">
            <w:r>
              <w:rPr>
                <w:color w:val="6C6362"/>
              </w:rPr>
              <w:t>Information to Assist Citizens to Effectively Exercise their Rights</w:t>
            </w:r>
            <w:r>
              <w:rPr>
                <w:color w:val="6C6362"/>
                <w:spacing w:val="-23"/>
              </w:rPr>
              <w:t> </w:t>
            </w:r>
            <w:r>
              <w:rPr>
                <w:color w:val="6C6362"/>
              </w:rPr>
              <w:t>to</w:t>
            </w:r>
            <w:r>
              <w:rPr>
                <w:color w:val="6C6362"/>
                <w:spacing w:val="-1"/>
              </w:rPr>
              <w:t> </w:t>
            </w:r>
            <w:r>
              <w:rPr>
                <w:color w:val="6C6362"/>
              </w:rPr>
              <w:t>Property</w:t>
              <w:tab/>
            </w:r>
            <w:r>
              <w:rPr>
                <w:color w:val="6C6362"/>
                <w:spacing w:val="-9"/>
              </w:rPr>
              <w:t>26</w:t>
            </w:r>
          </w:hyperlink>
        </w:p>
        <w:p>
          <w:pPr>
            <w:pStyle w:val="TOC1"/>
            <w:tabs>
              <w:tab w:pos="9327" w:val="left" w:leader="dot"/>
            </w:tabs>
            <w:spacing w:before="31"/>
          </w:pPr>
          <w:hyperlink w:history="true" w:anchor="_bookmark19">
            <w:r>
              <w:rPr>
                <w:color w:val="6C6362"/>
              </w:rPr>
              <w:t>PROJECT SPECIFIC</w:t>
            </w:r>
            <w:r>
              <w:rPr>
                <w:color w:val="6C6362"/>
                <w:spacing w:val="-10"/>
              </w:rPr>
              <w:t> </w:t>
            </w:r>
            <w:r>
              <w:rPr>
                <w:color w:val="6C6362"/>
              </w:rPr>
              <w:t>PERFORMANCE</w:t>
            </w:r>
            <w:r>
              <w:rPr>
                <w:color w:val="6C6362"/>
                <w:spacing w:val="-5"/>
              </w:rPr>
              <w:t> </w:t>
            </w:r>
            <w:r>
              <w:rPr>
                <w:color w:val="6C6362"/>
              </w:rPr>
              <w:t>INDICATORS</w:t>
              <w:tab/>
              <w:t>31</w:t>
            </w:r>
          </w:hyperlink>
        </w:p>
        <w:p>
          <w:pPr>
            <w:pStyle w:val="TOC1"/>
            <w:tabs>
              <w:tab w:pos="9327" w:val="left" w:leader="dot"/>
            </w:tabs>
            <w:spacing w:before="41"/>
          </w:pPr>
          <w:hyperlink w:history="true" w:anchor="_bookmark20">
            <w:r>
              <w:rPr>
                <w:color w:val="6C6362"/>
              </w:rPr>
              <w:t>SUCCESS</w:t>
            </w:r>
            <w:r>
              <w:rPr>
                <w:color w:val="6C6362"/>
                <w:spacing w:val="-3"/>
              </w:rPr>
              <w:t> </w:t>
            </w:r>
            <w:r>
              <w:rPr>
                <w:color w:val="6C6362"/>
              </w:rPr>
              <w:t>STORY</w:t>
              <w:tab/>
              <w:t>37</w:t>
            </w:r>
          </w:hyperlink>
        </w:p>
        <w:p>
          <w:pPr>
            <w:pStyle w:val="TOC1"/>
            <w:tabs>
              <w:tab w:pos="9327" w:val="left" w:leader="dot"/>
            </w:tabs>
            <w:spacing w:before="40"/>
          </w:pPr>
          <w:hyperlink w:history="true" w:anchor="_bookmark21">
            <w:r>
              <w:rPr>
                <w:color w:val="6C6362"/>
              </w:rPr>
              <w:t>PROJECT</w:t>
            </w:r>
            <w:r>
              <w:rPr>
                <w:color w:val="6C6362"/>
                <w:spacing w:val="-4"/>
              </w:rPr>
              <w:t> </w:t>
            </w:r>
            <w:r>
              <w:rPr>
                <w:color w:val="6C6362"/>
              </w:rPr>
              <w:t>BRIEF</w:t>
            </w:r>
            <w:r>
              <w:rPr>
                <w:color w:val="6C6362"/>
                <w:spacing w:val="-2"/>
              </w:rPr>
              <w:t> </w:t>
            </w:r>
            <w:r>
              <w:rPr>
                <w:color w:val="6C6362"/>
              </w:rPr>
              <w:t>UPDATE</w:t>
              <w:tab/>
              <w:t>35</w:t>
            </w:r>
          </w:hyperlink>
        </w:p>
        <w:p>
          <w:pPr>
            <w:pStyle w:val="TOC1"/>
            <w:tabs>
              <w:tab w:pos="9327" w:val="left" w:leader="dot"/>
            </w:tabs>
            <w:spacing w:before="40"/>
          </w:pPr>
          <w:hyperlink w:history="true" w:anchor="_bookmark22">
            <w:r>
              <w:rPr>
                <w:color w:val="6C6362"/>
              </w:rPr>
              <w:t>MEDIA</w:t>
              <w:tab/>
              <w:t>39</w:t>
            </w:r>
          </w:hyperlink>
        </w:p>
        <w:p>
          <w:pPr>
            <w:pStyle w:val="TOC2"/>
            <w:tabs>
              <w:tab w:pos="9348" w:val="left" w:leader="dot"/>
            </w:tabs>
            <w:rPr>
              <w:b w:val="0"/>
            </w:rPr>
          </w:pPr>
          <w:hyperlink w:history="true" w:anchor="_bookmark23">
            <w:r>
              <w:rPr>
                <w:color w:val="6C6362"/>
              </w:rPr>
              <w:t>PUBLICATIONS</w:t>
              <w:tab/>
            </w:r>
            <w:r>
              <w:rPr>
                <w:b w:val="0"/>
                <w:color w:val="6C6362"/>
              </w:rPr>
              <w:t>39</w:t>
            </w:r>
          </w:hyperlink>
        </w:p>
        <w:p>
          <w:pPr>
            <w:pStyle w:val="TOC1"/>
            <w:tabs>
              <w:tab w:pos="9327" w:val="left" w:leader="dot"/>
            </w:tabs>
          </w:pPr>
          <w:hyperlink w:history="true" w:anchor="_bookmark24">
            <w:r>
              <w:rPr>
                <w:color w:val="6C6362"/>
              </w:rPr>
              <w:t>PROJECT</w:t>
            </w:r>
            <w:r>
              <w:rPr>
                <w:color w:val="6C6362"/>
                <w:spacing w:val="-4"/>
              </w:rPr>
              <w:t> </w:t>
            </w:r>
            <w:r>
              <w:rPr>
                <w:color w:val="6C6362"/>
              </w:rPr>
              <w:t>STAFF</w:t>
              <w:tab/>
              <w:t>40</w:t>
            </w:r>
          </w:hyperlink>
        </w:p>
      </w:sdtContent>
    </w:sdt>
    <w:p>
      <w:pPr>
        <w:spacing w:after="0"/>
        <w:sectPr>
          <w:pgSz w:w="11910" w:h="16840"/>
          <w:pgMar w:top="1320" w:bottom="280" w:left="700" w:right="100"/>
        </w:sectPr>
      </w:pPr>
    </w:p>
    <w:p>
      <w:pPr>
        <w:pStyle w:val="Heading3"/>
        <w:ind w:left="740"/>
      </w:pPr>
      <w:bookmarkStart w:name="_bookmark0" w:id="1"/>
      <w:bookmarkEnd w:id="1"/>
      <w:r>
        <w:rPr>
          <w:b w:val="0"/>
        </w:rPr>
      </w:r>
      <w:r>
        <w:rPr>
          <w:color w:val="C21139"/>
        </w:rPr>
        <w:t>ACRONYMS AND ABBREVIATIONS</w:t>
      </w:r>
    </w:p>
    <w:p>
      <w:pPr>
        <w:pStyle w:val="BodyText"/>
        <w:tabs>
          <w:tab w:pos="2180" w:val="left" w:leader="none"/>
        </w:tabs>
        <w:spacing w:before="127"/>
        <w:ind w:left="740"/>
      </w:pPr>
      <w:r>
        <w:rPr>
          <w:color w:val="6C6362"/>
        </w:rPr>
        <w:t>AI</w:t>
        <w:tab/>
        <w:t>Administrative</w:t>
      </w:r>
      <w:r>
        <w:rPr>
          <w:color w:val="6C6362"/>
          <w:spacing w:val="-1"/>
        </w:rPr>
        <w:t> </w:t>
      </w:r>
      <w:r>
        <w:rPr>
          <w:color w:val="6C6362"/>
        </w:rPr>
        <w:t>Instruction</w:t>
      </w:r>
    </w:p>
    <w:p>
      <w:pPr>
        <w:pStyle w:val="BodyText"/>
        <w:tabs>
          <w:tab w:pos="2180" w:val="left" w:leader="none"/>
        </w:tabs>
        <w:spacing w:line="352" w:lineRule="auto" w:before="122"/>
        <w:ind w:left="740" w:right="5375"/>
      </w:pPr>
      <w:r>
        <w:rPr>
          <w:color w:val="6C6362"/>
        </w:rPr>
        <w:t>ATRC</w:t>
        <w:tab/>
        <w:t>Advocacy Training &amp; Resource Center BIRN</w:t>
        <w:tab/>
        <w:t>Balkan Investigative Reporting Network CCP2</w:t>
        <w:tab/>
        <w:t>Civil Code Project</w:t>
      </w:r>
      <w:r>
        <w:rPr>
          <w:color w:val="6C6362"/>
          <w:spacing w:val="-3"/>
        </w:rPr>
        <w:t> </w:t>
      </w:r>
      <w:r>
        <w:rPr>
          <w:color w:val="6C6362"/>
        </w:rPr>
        <w:t>2</w:t>
      </w:r>
    </w:p>
    <w:p>
      <w:pPr>
        <w:pStyle w:val="BodyText"/>
        <w:tabs>
          <w:tab w:pos="2180" w:val="left" w:leader="none"/>
        </w:tabs>
        <w:spacing w:line="352" w:lineRule="auto"/>
        <w:ind w:left="740" w:right="4901"/>
      </w:pPr>
      <w:r>
        <w:rPr>
          <w:color w:val="6C6362"/>
        </w:rPr>
        <w:t>CDCS</w:t>
        <w:tab/>
        <w:t>Country Development Cooperation Strategy CFM</w:t>
        <w:tab/>
        <w:t>Caseflow</w:t>
      </w:r>
      <w:r>
        <w:rPr>
          <w:color w:val="6C6362"/>
          <w:spacing w:val="-1"/>
        </w:rPr>
        <w:t> </w:t>
      </w:r>
      <w:r>
        <w:rPr>
          <w:color w:val="6C6362"/>
        </w:rPr>
        <w:t>Management</w:t>
      </w:r>
    </w:p>
    <w:p>
      <w:pPr>
        <w:pStyle w:val="BodyText"/>
        <w:tabs>
          <w:tab w:pos="2180" w:val="left" w:leader="none"/>
        </w:tabs>
        <w:spacing w:line="254" w:lineRule="exact"/>
        <w:ind w:left="740"/>
      </w:pPr>
      <w:r>
        <w:rPr>
          <w:color w:val="6C6362"/>
        </w:rPr>
        <w:t>CoM</w:t>
        <w:tab/>
        <w:t>Court of</w:t>
      </w:r>
      <w:r>
        <w:rPr>
          <w:color w:val="6C6362"/>
          <w:spacing w:val="-2"/>
        </w:rPr>
        <w:t> </w:t>
      </w:r>
      <w:r>
        <w:rPr>
          <w:color w:val="6C6362"/>
        </w:rPr>
        <w:t>Merit</w:t>
      </w:r>
    </w:p>
    <w:p>
      <w:pPr>
        <w:pStyle w:val="BodyText"/>
        <w:tabs>
          <w:tab w:pos="2180" w:val="left" w:leader="none"/>
        </w:tabs>
        <w:spacing w:before="119"/>
        <w:ind w:left="740"/>
      </w:pPr>
      <w:r>
        <w:rPr>
          <w:color w:val="6C6362"/>
        </w:rPr>
        <w:t>CSO</w:t>
        <w:tab/>
        <w:t>Civil Society</w:t>
      </w:r>
      <w:r>
        <w:rPr>
          <w:color w:val="6C6362"/>
          <w:spacing w:val="-3"/>
        </w:rPr>
        <w:t> </w:t>
      </w:r>
      <w:r>
        <w:rPr>
          <w:color w:val="6C6362"/>
        </w:rPr>
        <w:t>Organization</w:t>
      </w:r>
    </w:p>
    <w:p>
      <w:pPr>
        <w:pStyle w:val="BodyText"/>
        <w:tabs>
          <w:tab w:pos="2180" w:val="left" w:leader="none"/>
        </w:tabs>
        <w:spacing w:before="123"/>
        <w:ind w:left="740"/>
      </w:pPr>
      <w:r>
        <w:rPr>
          <w:color w:val="6C6362"/>
        </w:rPr>
        <w:t>DO</w:t>
        <w:tab/>
        <w:t>Development</w:t>
      </w:r>
      <w:r>
        <w:rPr>
          <w:color w:val="6C6362"/>
          <w:spacing w:val="-2"/>
        </w:rPr>
        <w:t> </w:t>
      </w:r>
      <w:r>
        <w:rPr>
          <w:color w:val="6C6362"/>
        </w:rPr>
        <w:t>Objective</w:t>
      </w:r>
    </w:p>
    <w:p>
      <w:pPr>
        <w:pStyle w:val="BodyText"/>
        <w:tabs>
          <w:tab w:pos="2180" w:val="left" w:leader="none"/>
        </w:tabs>
        <w:spacing w:line="352" w:lineRule="auto" w:before="119"/>
        <w:ind w:left="740" w:right="5918"/>
      </w:pPr>
      <w:r>
        <w:rPr>
          <w:color w:val="6C6362"/>
        </w:rPr>
        <w:t>ECHR</w:t>
        <w:tab/>
        <w:t>European Court of Human Rights E4E</w:t>
        <w:tab/>
        <w:t>Engagement for</w:t>
      </w:r>
      <w:r>
        <w:rPr>
          <w:color w:val="6C6362"/>
          <w:spacing w:val="-3"/>
        </w:rPr>
        <w:t> </w:t>
      </w:r>
      <w:r>
        <w:rPr>
          <w:color w:val="6C6362"/>
        </w:rPr>
        <w:t>Equity</w:t>
      </w:r>
    </w:p>
    <w:p>
      <w:pPr>
        <w:pStyle w:val="BodyText"/>
        <w:tabs>
          <w:tab w:pos="2180" w:val="left" w:leader="none"/>
        </w:tabs>
        <w:spacing w:before="1"/>
        <w:ind w:left="740"/>
      </w:pPr>
      <w:r>
        <w:rPr>
          <w:color w:val="6C6362"/>
        </w:rPr>
        <w:t>EU</w:t>
        <w:tab/>
        <w:t>European Union</w:t>
      </w:r>
    </w:p>
    <w:p>
      <w:pPr>
        <w:pStyle w:val="BodyText"/>
        <w:tabs>
          <w:tab w:pos="2180" w:val="left" w:leader="none"/>
        </w:tabs>
        <w:spacing w:line="352" w:lineRule="auto" w:before="119"/>
        <w:ind w:left="740" w:right="4301"/>
      </w:pPr>
      <w:r>
        <w:rPr>
          <w:color w:val="6C6362"/>
        </w:rPr>
        <w:t>EUSR</w:t>
        <w:tab/>
        <w:t>European Union Special Representative (in Kosovo) GCG</w:t>
        <w:tab/>
        <w:t>Gender Coordination</w:t>
      </w:r>
      <w:r>
        <w:rPr>
          <w:color w:val="6C6362"/>
          <w:spacing w:val="-1"/>
        </w:rPr>
        <w:t> </w:t>
      </w:r>
      <w:r>
        <w:rPr>
          <w:color w:val="6C6362"/>
        </w:rPr>
        <w:t>Group</w:t>
      </w:r>
    </w:p>
    <w:p>
      <w:pPr>
        <w:pStyle w:val="BodyText"/>
        <w:tabs>
          <w:tab w:pos="2180" w:val="left" w:leader="none"/>
        </w:tabs>
        <w:spacing w:before="1"/>
        <w:ind w:left="2180" w:right="1625" w:hanging="1440"/>
      </w:pPr>
      <w:r>
        <w:rPr>
          <w:color w:val="6C6362"/>
        </w:rPr>
        <w:t>GIZ</w:t>
        <w:tab/>
        <w:t>Deutsche Gesellschaft für Internationale Zusammenarbeit (“German Corporation for International Cooperation</w:t>
      </w:r>
      <w:r>
        <w:rPr>
          <w:color w:val="6C6362"/>
          <w:spacing w:val="-3"/>
        </w:rPr>
        <w:t> </w:t>
      </w:r>
      <w:r>
        <w:rPr>
          <w:color w:val="6C6362"/>
        </w:rPr>
        <w:t>GmbH)</w:t>
      </w:r>
    </w:p>
    <w:p>
      <w:pPr>
        <w:pStyle w:val="BodyText"/>
        <w:tabs>
          <w:tab w:pos="2180" w:val="left" w:leader="none"/>
        </w:tabs>
        <w:spacing w:before="119"/>
        <w:ind w:left="740"/>
      </w:pPr>
      <w:r>
        <w:rPr>
          <w:color w:val="6C6362"/>
        </w:rPr>
        <w:t>GoK</w:t>
        <w:tab/>
        <w:t>Government of</w:t>
      </w:r>
      <w:r>
        <w:rPr>
          <w:color w:val="6C6362"/>
          <w:spacing w:val="-3"/>
        </w:rPr>
        <w:t> </w:t>
      </w:r>
      <w:r>
        <w:rPr>
          <w:color w:val="6C6362"/>
        </w:rPr>
        <w:t>Kosovo</w:t>
      </w:r>
    </w:p>
    <w:p>
      <w:pPr>
        <w:pStyle w:val="BodyText"/>
        <w:tabs>
          <w:tab w:pos="2180" w:val="left" w:leader="none"/>
        </w:tabs>
        <w:spacing w:before="120"/>
        <w:ind w:left="740"/>
      </w:pPr>
      <w:r>
        <w:rPr>
          <w:color w:val="6C6362"/>
        </w:rPr>
        <w:t>IQC</w:t>
        <w:tab/>
        <w:t>Indefinite Quantity</w:t>
      </w:r>
      <w:r>
        <w:rPr>
          <w:color w:val="6C6362"/>
          <w:spacing w:val="-5"/>
        </w:rPr>
        <w:t> </w:t>
      </w:r>
      <w:r>
        <w:rPr>
          <w:color w:val="6C6362"/>
        </w:rPr>
        <w:t>Contract</w:t>
      </w:r>
    </w:p>
    <w:p>
      <w:pPr>
        <w:pStyle w:val="BodyText"/>
        <w:tabs>
          <w:tab w:pos="2180" w:val="left" w:leader="none"/>
        </w:tabs>
        <w:spacing w:before="121"/>
        <w:ind w:left="740"/>
      </w:pPr>
      <w:r>
        <w:rPr>
          <w:color w:val="6C6362"/>
        </w:rPr>
        <w:t>IR</w:t>
        <w:tab/>
        <w:t>Intermediate</w:t>
      </w:r>
      <w:r>
        <w:rPr>
          <w:color w:val="6C6362"/>
          <w:spacing w:val="-2"/>
        </w:rPr>
        <w:t> </w:t>
      </w:r>
      <w:r>
        <w:rPr>
          <w:color w:val="6C6362"/>
        </w:rPr>
        <w:t>Result</w:t>
      </w:r>
    </w:p>
    <w:p>
      <w:pPr>
        <w:pStyle w:val="BodyText"/>
        <w:tabs>
          <w:tab w:pos="2180" w:val="left" w:leader="none"/>
        </w:tabs>
        <w:spacing w:before="120"/>
        <w:ind w:left="740"/>
      </w:pPr>
      <w:r>
        <w:rPr>
          <w:color w:val="6C6362"/>
        </w:rPr>
        <w:t>ISBN</w:t>
        <w:tab/>
        <w:t>International Standard Book</w:t>
      </w:r>
      <w:r>
        <w:rPr>
          <w:color w:val="6C6362"/>
          <w:spacing w:val="-3"/>
        </w:rPr>
        <w:t> </w:t>
      </w:r>
      <w:r>
        <w:rPr>
          <w:color w:val="6C6362"/>
        </w:rPr>
        <w:t>Number</w:t>
      </w:r>
    </w:p>
    <w:p>
      <w:pPr>
        <w:pStyle w:val="BodyText"/>
        <w:tabs>
          <w:tab w:pos="2180" w:val="left" w:leader="none"/>
        </w:tabs>
        <w:spacing w:before="119"/>
        <w:ind w:left="740"/>
      </w:pPr>
      <w:r>
        <w:rPr>
          <w:color w:val="6C6362"/>
        </w:rPr>
        <w:t>JSSP</w:t>
        <w:tab/>
        <w:t>Justice System Strengthening</w:t>
      </w:r>
      <w:r>
        <w:rPr>
          <w:color w:val="6C6362"/>
          <w:spacing w:val="-3"/>
        </w:rPr>
        <w:t> </w:t>
      </w:r>
      <w:r>
        <w:rPr>
          <w:color w:val="6C6362"/>
        </w:rPr>
        <w:t>Program</w:t>
      </w:r>
    </w:p>
    <w:p>
      <w:pPr>
        <w:pStyle w:val="BodyText"/>
        <w:tabs>
          <w:tab w:pos="2180" w:val="left" w:leader="none"/>
        </w:tabs>
        <w:spacing w:before="122"/>
        <w:ind w:left="740"/>
      </w:pPr>
      <w:r>
        <w:rPr>
          <w:color w:val="6C6362"/>
        </w:rPr>
        <w:t>KCA</w:t>
        <w:tab/>
        <w:t>Kosovo Cadastral Agency</w:t>
      </w:r>
    </w:p>
    <w:p>
      <w:pPr>
        <w:pStyle w:val="BodyText"/>
        <w:tabs>
          <w:tab w:pos="2180" w:val="left" w:leader="none"/>
        </w:tabs>
        <w:spacing w:line="352" w:lineRule="auto" w:before="119"/>
        <w:ind w:left="740" w:right="4707"/>
      </w:pPr>
      <w:r>
        <w:rPr>
          <w:color w:val="6C6362"/>
        </w:rPr>
        <w:t>KCLIS</w:t>
        <w:tab/>
        <w:t>Kosovo Cadastre and Land Information System KJA</w:t>
        <w:tab/>
        <w:t>Kosovo Judicial Academy</w:t>
      </w:r>
    </w:p>
    <w:p>
      <w:pPr>
        <w:pStyle w:val="BodyText"/>
        <w:tabs>
          <w:tab w:pos="2180" w:val="left" w:leader="none"/>
        </w:tabs>
        <w:spacing w:before="1"/>
        <w:ind w:left="740"/>
      </w:pPr>
      <w:r>
        <w:rPr>
          <w:color w:val="6C6362"/>
        </w:rPr>
        <w:t>KJC</w:t>
        <w:tab/>
        <w:t>Kosovo Judicial Council</w:t>
      </w:r>
    </w:p>
    <w:p>
      <w:pPr>
        <w:pStyle w:val="BodyText"/>
        <w:tabs>
          <w:tab w:pos="2180" w:val="left" w:leader="none"/>
        </w:tabs>
        <w:spacing w:before="120"/>
        <w:ind w:left="740"/>
      </w:pPr>
      <w:r>
        <w:rPr>
          <w:color w:val="6C6362"/>
        </w:rPr>
        <w:t>KPA</w:t>
        <w:tab/>
        <w:t>Kosovo Property</w:t>
      </w:r>
      <w:r>
        <w:rPr>
          <w:color w:val="6C6362"/>
          <w:spacing w:val="-1"/>
        </w:rPr>
        <w:t> </w:t>
      </w:r>
      <w:r>
        <w:rPr>
          <w:color w:val="6C6362"/>
        </w:rPr>
        <w:t>Agency</w:t>
      </w:r>
    </w:p>
    <w:p>
      <w:pPr>
        <w:pStyle w:val="BodyText"/>
        <w:tabs>
          <w:tab w:pos="2180" w:val="left" w:leader="none"/>
        </w:tabs>
        <w:spacing w:line="352" w:lineRule="auto" w:before="119"/>
        <w:ind w:left="740" w:right="4048"/>
      </w:pPr>
      <w:r>
        <w:rPr>
          <w:color w:val="6C6362"/>
        </w:rPr>
        <w:t>KPCVA</w:t>
        <w:tab/>
        <w:t>Kosovo Property Comparison and Verification Agency LA</w:t>
        <w:tab/>
        <w:t>Legal</w:t>
      </w:r>
      <w:r>
        <w:rPr>
          <w:color w:val="6C6362"/>
          <w:spacing w:val="-1"/>
        </w:rPr>
        <w:t> </w:t>
      </w:r>
      <w:r>
        <w:rPr>
          <w:color w:val="6C6362"/>
        </w:rPr>
        <w:t>Associate</w:t>
      </w:r>
    </w:p>
    <w:p>
      <w:pPr>
        <w:pStyle w:val="BodyText"/>
        <w:tabs>
          <w:tab w:pos="2180" w:val="left" w:leader="none"/>
        </w:tabs>
        <w:spacing w:before="1"/>
        <w:ind w:left="740"/>
      </w:pPr>
      <w:r>
        <w:rPr>
          <w:color w:val="6C6362"/>
        </w:rPr>
        <w:t>MCO</w:t>
        <w:tab/>
        <w:t>Municipal Cadastral</w:t>
      </w:r>
      <w:r>
        <w:rPr>
          <w:color w:val="6C6362"/>
          <w:spacing w:val="-3"/>
        </w:rPr>
        <w:t> </w:t>
      </w:r>
      <w:r>
        <w:rPr>
          <w:color w:val="6C6362"/>
        </w:rPr>
        <w:t>Office</w:t>
      </w:r>
    </w:p>
    <w:p>
      <w:pPr>
        <w:pStyle w:val="BodyText"/>
        <w:tabs>
          <w:tab w:pos="2180" w:val="left" w:leader="none"/>
        </w:tabs>
        <w:spacing w:line="352" w:lineRule="auto" w:before="120"/>
        <w:ind w:left="740" w:right="4969"/>
      </w:pPr>
      <w:r>
        <w:rPr>
          <w:color w:val="6C6362"/>
        </w:rPr>
        <w:t>MESP</w:t>
        <w:tab/>
        <w:t>Ministry of Environment and Spatial Planning MGO</w:t>
        <w:tab/>
        <w:t>Municipal Gender</w:t>
      </w:r>
      <w:r>
        <w:rPr>
          <w:color w:val="6C6362"/>
          <w:spacing w:val="-1"/>
        </w:rPr>
        <w:t> </w:t>
      </w:r>
      <w:r>
        <w:rPr>
          <w:color w:val="6C6362"/>
        </w:rPr>
        <w:t>Officer</w:t>
      </w:r>
    </w:p>
    <w:p>
      <w:pPr>
        <w:pStyle w:val="BodyText"/>
        <w:tabs>
          <w:tab w:pos="2180" w:val="left" w:leader="none"/>
        </w:tabs>
        <w:spacing w:line="352" w:lineRule="auto" w:before="1"/>
        <w:ind w:left="740" w:right="4845"/>
      </w:pPr>
      <w:r>
        <w:rPr>
          <w:color w:val="6C6362"/>
        </w:rPr>
        <w:t>MLGA</w:t>
        <w:tab/>
        <w:t>Ministry of Local Government Administration MoJ</w:t>
        <w:tab/>
        <w:t>Ministry of</w:t>
      </w:r>
      <w:r>
        <w:rPr>
          <w:color w:val="6C6362"/>
          <w:spacing w:val="-2"/>
        </w:rPr>
        <w:t> </w:t>
      </w:r>
      <w:r>
        <w:rPr>
          <w:color w:val="6C6362"/>
        </w:rPr>
        <w:t>Justice</w:t>
      </w:r>
    </w:p>
    <w:p>
      <w:pPr>
        <w:pStyle w:val="BodyText"/>
        <w:tabs>
          <w:tab w:pos="2180" w:val="left" w:leader="none"/>
        </w:tabs>
        <w:spacing w:line="352" w:lineRule="auto"/>
        <w:ind w:left="740" w:right="5626"/>
      </w:pPr>
      <w:r>
        <w:rPr>
          <w:color w:val="6C6362"/>
        </w:rPr>
        <w:t>NDS</w:t>
        <w:tab/>
        <w:t>National Development Strategy NSPR</w:t>
        <w:tab/>
        <w:t>National Strategy on Property Rights OPM</w:t>
        <w:tab/>
        <w:t>Office of the Prime</w:t>
      </w:r>
      <w:r>
        <w:rPr>
          <w:color w:val="6C6362"/>
          <w:spacing w:val="-7"/>
        </w:rPr>
        <w:t> </w:t>
      </w:r>
      <w:r>
        <w:rPr>
          <w:color w:val="6C6362"/>
        </w:rPr>
        <w:t>Minister</w:t>
      </w:r>
    </w:p>
    <w:p>
      <w:pPr>
        <w:spacing w:after="0" w:line="352" w:lineRule="auto"/>
        <w:sectPr>
          <w:footerReference w:type="default" r:id="rId11"/>
          <w:pgSz w:w="11910" w:h="16840"/>
          <w:pgMar w:footer="720" w:header="0" w:top="1440" w:bottom="900" w:left="700" w:right="100"/>
          <w:pgNumType w:start="3"/>
        </w:sectPr>
      </w:pPr>
    </w:p>
    <w:p>
      <w:pPr>
        <w:pStyle w:val="BodyText"/>
        <w:tabs>
          <w:tab w:pos="2180" w:val="left" w:leader="none"/>
        </w:tabs>
        <w:spacing w:line="352" w:lineRule="auto" w:before="80"/>
        <w:ind w:left="740" w:right="4155"/>
      </w:pPr>
      <w:r>
        <w:rPr>
          <w:color w:val="6C6362"/>
        </w:rPr>
        <w:t>OSCE</w:t>
        <w:tab/>
        <w:t>Organization for Security and Cooperation in Europe PRP</w:t>
        <w:tab/>
        <w:t>Property Rights</w:t>
      </w:r>
      <w:r>
        <w:rPr>
          <w:color w:val="6C6362"/>
          <w:spacing w:val="-6"/>
        </w:rPr>
        <w:t> </w:t>
      </w:r>
      <w:r>
        <w:rPr>
          <w:color w:val="6C6362"/>
        </w:rPr>
        <w:t>Program</w:t>
      </w:r>
    </w:p>
    <w:p>
      <w:pPr>
        <w:pStyle w:val="BodyText"/>
        <w:tabs>
          <w:tab w:pos="2180" w:val="left" w:leader="none"/>
        </w:tabs>
        <w:spacing w:before="1"/>
        <w:ind w:left="740"/>
      </w:pPr>
      <w:r>
        <w:rPr>
          <w:color w:val="6C6362"/>
        </w:rPr>
        <w:t>PSA</w:t>
        <w:tab/>
        <w:t>Public Service</w:t>
      </w:r>
      <w:r>
        <w:rPr>
          <w:color w:val="6C6362"/>
          <w:spacing w:val="-2"/>
        </w:rPr>
        <w:t> </w:t>
      </w:r>
      <w:r>
        <w:rPr>
          <w:color w:val="6C6362"/>
        </w:rPr>
        <w:t>Announcement</w:t>
      </w:r>
    </w:p>
    <w:p>
      <w:pPr>
        <w:pStyle w:val="BodyText"/>
        <w:tabs>
          <w:tab w:pos="2180" w:val="left" w:leader="none"/>
        </w:tabs>
        <w:spacing w:before="119"/>
        <w:ind w:left="740"/>
      </w:pPr>
      <w:r>
        <w:rPr>
          <w:color w:val="6C6362"/>
        </w:rPr>
        <w:t>SAA</w:t>
        <w:tab/>
        <w:t>Stabilization and Association</w:t>
      </w:r>
      <w:r>
        <w:rPr>
          <w:color w:val="6C6362"/>
          <w:spacing w:val="2"/>
        </w:rPr>
        <w:t> </w:t>
      </w:r>
      <w:r>
        <w:rPr>
          <w:color w:val="6C6362"/>
        </w:rPr>
        <w:t>Agreement</w:t>
      </w:r>
    </w:p>
    <w:p>
      <w:pPr>
        <w:pStyle w:val="BodyText"/>
        <w:tabs>
          <w:tab w:pos="2180" w:val="left" w:leader="none"/>
        </w:tabs>
        <w:spacing w:before="119"/>
        <w:ind w:left="740"/>
      </w:pPr>
      <w:r>
        <w:rPr>
          <w:color w:val="6C6362"/>
        </w:rPr>
        <w:t>SPO</w:t>
        <w:tab/>
        <w:t>Strategic Planning</w:t>
      </w:r>
      <w:r>
        <w:rPr>
          <w:color w:val="6C6362"/>
          <w:spacing w:val="-5"/>
        </w:rPr>
        <w:t> </w:t>
      </w:r>
      <w:r>
        <w:rPr>
          <w:color w:val="6C6362"/>
        </w:rPr>
        <w:t>Office</w:t>
      </w:r>
    </w:p>
    <w:p>
      <w:pPr>
        <w:pStyle w:val="BodyText"/>
        <w:tabs>
          <w:tab w:pos="2180" w:val="left" w:leader="none"/>
        </w:tabs>
        <w:spacing w:before="122"/>
        <w:ind w:left="740"/>
      </w:pPr>
      <w:r>
        <w:rPr>
          <w:color w:val="6C6362"/>
        </w:rPr>
        <w:t>STARR</w:t>
        <w:tab/>
        <w:t>Strengthening Tenure and Resource</w:t>
      </w:r>
      <w:r>
        <w:rPr>
          <w:color w:val="6C6362"/>
          <w:spacing w:val="-10"/>
        </w:rPr>
        <w:t> </w:t>
      </w:r>
      <w:r>
        <w:rPr>
          <w:color w:val="6C6362"/>
        </w:rPr>
        <w:t>Rights</w:t>
      </w:r>
    </w:p>
    <w:p>
      <w:pPr>
        <w:pStyle w:val="BodyText"/>
        <w:tabs>
          <w:tab w:pos="2180" w:val="left" w:leader="none"/>
        </w:tabs>
        <w:spacing w:before="119"/>
        <w:ind w:left="740"/>
      </w:pPr>
      <w:r>
        <w:rPr>
          <w:color w:val="6C6362"/>
        </w:rPr>
        <w:t>USAID</w:t>
        <w:tab/>
        <w:t>United States Agency for International</w:t>
      </w:r>
      <w:r>
        <w:rPr>
          <w:color w:val="6C6362"/>
          <w:spacing w:val="-11"/>
        </w:rPr>
        <w:t> </w:t>
      </w:r>
      <w:r>
        <w:rPr>
          <w:color w:val="6C6362"/>
        </w:rPr>
        <w:t>Development</w:t>
      </w:r>
    </w:p>
    <w:p>
      <w:pPr>
        <w:spacing w:after="0"/>
        <w:sectPr>
          <w:pgSz w:w="11910" w:h="16840"/>
          <w:pgMar w:header="0" w:footer="720" w:top="1320" w:bottom="900" w:left="700" w:right="100"/>
        </w:sectPr>
      </w:pPr>
    </w:p>
    <w:p>
      <w:pPr>
        <w:pStyle w:val="Heading3"/>
        <w:ind w:left="740"/>
      </w:pPr>
      <w:bookmarkStart w:name="_bookmark1" w:id="2"/>
      <w:bookmarkEnd w:id="2"/>
      <w:r>
        <w:rPr>
          <w:b w:val="0"/>
        </w:rPr>
      </w:r>
      <w:r>
        <w:rPr>
          <w:color w:val="C21139"/>
        </w:rPr>
        <w:t>INTRODUCTION AND BACKGROUND</w:t>
      </w:r>
    </w:p>
    <w:p>
      <w:pPr>
        <w:pStyle w:val="BodyText"/>
        <w:spacing w:line="264" w:lineRule="auto" w:before="151"/>
        <w:ind w:left="740" w:right="1371"/>
      </w:pPr>
      <w:r>
        <w:rPr>
          <w:color w:val="6C6362"/>
        </w:rPr>
        <w:t>The absence of an effective property rights framework in Kosovo weakens democratic governance, impacts human rights, disempowers women and impedes sustainable economic growth. The USAID/Kosovo Property Rights Program (PRP) assists the Government of Kosovo (GoK) to implement its National Strategy on Property Rights (NSPR), developed with PRP support, and strengthen property rights legislation; supports the development of improved court procedures and practices to efficiently adjudicate property claims and disputes; conducts public outreach campaigns to prompt changes in social attitudes and behavior concerning the ability of women to exercise their property rights and works closely with civil society organizations to support related activities; and improves service delivery in municipalities to increase the general public’s understanding of property rights and make it easier for citizens to exercise their property rights.</w:t>
      </w:r>
    </w:p>
    <w:p>
      <w:pPr>
        <w:pStyle w:val="BodyText"/>
        <w:spacing w:before="3"/>
        <w:rPr>
          <w:sz w:val="20"/>
        </w:rPr>
      </w:pPr>
    </w:p>
    <w:p>
      <w:pPr>
        <w:pStyle w:val="BodyText"/>
        <w:spacing w:line="264" w:lineRule="auto"/>
        <w:ind w:left="740" w:right="1338"/>
      </w:pPr>
      <w:r>
        <w:rPr>
          <w:color w:val="6C6362"/>
        </w:rPr>
        <w:t>With the GoK adopting the NSPR in January 2017, PRP is now working closely with all relevant GoK bodies to implement the strategy’s recommendations. This includes assistance to strengthen the property rights legal framework by ensuring it is modern, clear, harmonized and well-integrated and implementation of activities to help citizens to formalize their property rights.</w:t>
      </w:r>
    </w:p>
    <w:p>
      <w:pPr>
        <w:pStyle w:val="BodyText"/>
        <w:spacing w:before="6"/>
        <w:rPr>
          <w:sz w:val="20"/>
        </w:rPr>
      </w:pPr>
    </w:p>
    <w:p>
      <w:pPr>
        <w:pStyle w:val="BodyText"/>
        <w:spacing w:line="264" w:lineRule="auto"/>
        <w:ind w:left="740" w:right="1448"/>
      </w:pPr>
      <w:r>
        <w:rPr>
          <w:color w:val="6C6362"/>
        </w:rPr>
        <w:t>PRP has been working closely with the Kosovo Judicial Council (KJC) and three Courts of Merit (CoMs) to develop and pilot improved court procedures related to property claims. The piloting initiative has produced significant and demonstrable improvements in the CoMs’ efficiency and effectiveness in adjudicating property rights cases and offers a roadmap for institutionalizing these reforms throughout the judicial system. PRP has applied findings from its close collaboration with CoM’s to develop an initiative with the Supreme Court to produce guidelines for lower courts to accurately and consistently resolve complex property rights disputes. Results produced by PRP in these areas contribute to achieving USAID/Kosovo’s Country Development Cooperation Strategy Development (CDCS) Objective 1 “Improved Rule of Law and Governance that Meets Citizens’ Needs.” Improved legislation and court procedures also support creation of an Improved Economic Governance and Business Environment under the CDCS Development Objective 2 “Increased Investment and Private Sector Employment.”</w:t>
      </w:r>
    </w:p>
    <w:p>
      <w:pPr>
        <w:pStyle w:val="BodyText"/>
        <w:spacing w:line="264" w:lineRule="auto" w:before="233"/>
        <w:ind w:left="740" w:right="1420"/>
      </w:pPr>
      <w:r>
        <w:rPr>
          <w:color w:val="6C6362"/>
        </w:rPr>
        <w:t>PRP’s most recent National Survey on Property Rights demonstrates that PRP’s media campaign has sparked debate and discussion in Kosovo concerning women’s property rights (which was reportedly a taboo subject previously) and is producing positive changes in social attitudes and behaviors. PRP is continuing its national media campaign and grassroots public outreach activities on women’s property rights to reinforce these trends. PRP also provides technical assistance to USAID’s E4E partner and E4E sub-grantees (Civil Society Organizations (CSOs)) to develop and implement activities aimed at supporting women’s property rights and to complement PRP’s public outreach activities. In addition, PRP has completed preparations for the third and final (Endline) National Survey on Property Rights.</w:t>
      </w:r>
    </w:p>
    <w:p>
      <w:pPr>
        <w:pStyle w:val="BodyText"/>
        <w:spacing w:before="3"/>
        <w:rPr>
          <w:sz w:val="20"/>
        </w:rPr>
      </w:pPr>
    </w:p>
    <w:p>
      <w:pPr>
        <w:pStyle w:val="BodyText"/>
        <w:spacing w:line="264" w:lineRule="auto"/>
        <w:ind w:left="740" w:right="1409"/>
      </w:pPr>
      <w:r>
        <w:rPr>
          <w:color w:val="6C6362"/>
        </w:rPr>
        <w:t>At the municipal level, PRP is working with local administrations to improve their own practices and procedures and services to citizens related to property rights; provide citizens with useful legal information to enable them to more efficiently transact their rights to property; and engage more effectively with their communities on property rights issues.</w:t>
      </w:r>
    </w:p>
    <w:p>
      <w:pPr>
        <w:spacing w:after="0" w:line="264" w:lineRule="auto"/>
        <w:sectPr>
          <w:pgSz w:w="11910" w:h="16840"/>
          <w:pgMar w:header="0" w:footer="720" w:top="1320" w:bottom="900" w:left="700" w:right="100"/>
        </w:sectPr>
      </w:pPr>
    </w:p>
    <w:p>
      <w:pPr>
        <w:pStyle w:val="Heading3"/>
        <w:ind w:left="740"/>
      </w:pPr>
      <w:bookmarkStart w:name="_bookmark2" w:id="3"/>
      <w:bookmarkEnd w:id="3"/>
      <w:r>
        <w:rPr>
          <w:b w:val="0"/>
        </w:rPr>
      </w:r>
      <w:r>
        <w:rPr>
          <w:color w:val="C21139"/>
        </w:rPr>
        <w:t>EXECUTIVE SUMMARY</w:t>
      </w:r>
    </w:p>
    <w:p>
      <w:pPr>
        <w:pStyle w:val="BodyText"/>
        <w:spacing w:before="11"/>
        <w:rPr>
          <w:b/>
          <w:sz w:val="35"/>
        </w:rPr>
      </w:pPr>
    </w:p>
    <w:p>
      <w:pPr>
        <w:spacing w:before="0"/>
        <w:ind w:left="740" w:right="0" w:firstLine="0"/>
        <w:jc w:val="left"/>
        <w:rPr>
          <w:b/>
          <w:sz w:val="20"/>
        </w:rPr>
      </w:pPr>
      <w:r>
        <w:rPr>
          <w:b/>
          <w:sz w:val="20"/>
        </w:rPr>
        <w:t>SUMMARY OF RESULTS FOR THE REPORTING PERIOD AND KEY ACHIEVEMENTS</w:t>
      </w:r>
    </w:p>
    <w:p>
      <w:pPr>
        <w:pStyle w:val="BodyText"/>
        <w:spacing w:line="264" w:lineRule="auto" w:before="143"/>
        <w:ind w:left="740" w:right="1354"/>
      </w:pPr>
      <w:r>
        <w:rPr>
          <w:color w:val="6C6362"/>
        </w:rPr>
        <w:t>This Quarter saw PRP advance its initiatives significantly under all four Objectives. Under Objective 1, PRP has continued to support the timely development of legislation to implement the NSPR and assist the GoK in tracking its implementation. Under Objective 2, two CoMs have taken steps to institutionalize the Caseflow Management (CFM) reforms introduced by PRP, which have resulted in greater efficiency and improved court performance in adjudicating property rights cases. PRP has advanced its initiative with the Supreme Court to produce guidelines for lower courts to improve their substantive practice in property rights law. Under Objective 3, PRP continued its public outreach on women’s equal property rights with a range of activities. Under Objective 4, PRP has moved forward a number of initiatives that are designed to improve municipal governments’ services to their citizens. In addition, PRP has produced two publications that will help bring Kosovo’s property rights regime into line with best international standards and practices: summaries in Albanian and Serbian of 144 key decisions of the European Court of Human Rights that concern property rights; and an Albanian translation of European valuation standards.</w:t>
      </w:r>
    </w:p>
    <w:p>
      <w:pPr>
        <w:pStyle w:val="BodyText"/>
        <w:spacing w:before="11"/>
        <w:rPr>
          <w:sz w:val="19"/>
        </w:rPr>
      </w:pPr>
    </w:p>
    <w:p>
      <w:pPr>
        <w:tabs>
          <w:tab w:pos="9797" w:val="left" w:leader="none"/>
        </w:tabs>
        <w:spacing w:before="99"/>
        <w:ind w:left="711" w:right="0" w:firstLine="0"/>
        <w:jc w:val="left"/>
        <w:rPr>
          <w:b/>
          <w:sz w:val="20"/>
        </w:rPr>
      </w:pPr>
      <w:r>
        <w:rPr>
          <w:b/>
          <w:color w:val="FFFFFF"/>
          <w:spacing w:val="-27"/>
          <w:w w:val="99"/>
          <w:sz w:val="20"/>
          <w:shd w:fill="6C6362" w:color="auto" w:val="clear"/>
        </w:rPr>
        <w:t> </w:t>
      </w:r>
      <w:r>
        <w:rPr>
          <w:b/>
          <w:color w:val="FFFFFF"/>
          <w:sz w:val="20"/>
          <w:shd w:fill="6C6362" w:color="auto" w:val="clear"/>
        </w:rPr>
        <w:t>OBJECTIVE 1: BETTER COORDINATION AND POLICY</w:t>
      </w:r>
      <w:r>
        <w:rPr>
          <w:b/>
          <w:color w:val="FFFFFF"/>
          <w:spacing w:val="-25"/>
          <w:sz w:val="20"/>
          <w:shd w:fill="6C6362" w:color="auto" w:val="clear"/>
        </w:rPr>
        <w:t> </w:t>
      </w:r>
      <w:r>
        <w:rPr>
          <w:b/>
          <w:color w:val="FFFFFF"/>
          <w:sz w:val="20"/>
          <w:shd w:fill="6C6362" w:color="auto" w:val="clear"/>
        </w:rPr>
        <w:t>PRIORITIES</w:t>
        <w:tab/>
      </w:r>
    </w:p>
    <w:p>
      <w:pPr>
        <w:pStyle w:val="BodyText"/>
        <w:spacing w:before="6"/>
        <w:rPr>
          <w:b/>
        </w:rPr>
      </w:pPr>
    </w:p>
    <w:p>
      <w:pPr>
        <w:pStyle w:val="BodyText"/>
        <w:ind w:left="740"/>
      </w:pPr>
      <w:r>
        <w:rPr>
          <w:color w:val="C00000"/>
        </w:rPr>
        <w:t>PROGRESS TO IMPLEMENT THE NSPR</w:t>
      </w:r>
    </w:p>
    <w:p>
      <w:pPr>
        <w:pStyle w:val="BodyText"/>
        <w:spacing w:before="10"/>
      </w:pPr>
    </w:p>
    <w:p>
      <w:pPr>
        <w:pStyle w:val="BodyText"/>
        <w:spacing w:line="264" w:lineRule="auto" w:before="1"/>
        <w:ind w:left="740" w:right="1369"/>
      </w:pPr>
      <w:r>
        <w:rPr>
          <w:color w:val="6C6362"/>
        </w:rPr>
        <w:t>To date, action has been taken on 89% of the pieces of legislation contemplated by the three-year NSPR Action Plan, and the Government has begun implementing 66% of measures called for by the Action Plan. Activities are being implemented on time cross all five NSPR objectives. A status update for each piece of legislation is discussed below.</w:t>
      </w:r>
    </w:p>
    <w:p>
      <w:pPr>
        <w:pStyle w:val="BodyText"/>
        <w:spacing w:before="6"/>
        <w:rPr>
          <w:sz w:val="20"/>
        </w:rPr>
      </w:pPr>
    </w:p>
    <w:p>
      <w:pPr>
        <w:pStyle w:val="BodyText"/>
        <w:ind w:left="740"/>
      </w:pPr>
      <w:r>
        <w:rPr>
          <w:color w:val="C00000"/>
        </w:rPr>
        <w:t>INITIATING STATUS UPDATE ON NSPR IMPLEMENTATION</w:t>
      </w:r>
    </w:p>
    <w:p>
      <w:pPr>
        <w:pStyle w:val="BodyText"/>
        <w:spacing w:before="7"/>
        <w:rPr>
          <w:sz w:val="20"/>
        </w:rPr>
      </w:pPr>
    </w:p>
    <w:p>
      <w:pPr>
        <w:pStyle w:val="BodyText"/>
        <w:spacing w:before="1"/>
        <w:ind w:left="740" w:right="1794"/>
      </w:pPr>
      <w:r>
        <w:rPr>
          <w:color w:val="767070"/>
        </w:rPr>
        <w:t>PRP and the Strategic Planning Office of the Office of Prime Minister (SPO) agreed to conduct a comprehensive analysis of the implementation of the NSPR during the past six months.</w:t>
      </w:r>
    </w:p>
    <w:p>
      <w:pPr>
        <w:pStyle w:val="BodyText"/>
        <w:spacing w:before="10"/>
        <w:rPr>
          <w:sz w:val="23"/>
        </w:rPr>
      </w:pPr>
    </w:p>
    <w:p>
      <w:pPr>
        <w:pStyle w:val="BodyText"/>
        <w:ind w:left="740"/>
      </w:pPr>
      <w:r>
        <w:rPr>
          <w:color w:val="C00000"/>
        </w:rPr>
        <w:t>ASSISTING STAKEHOLDERS IN REPORTING</w:t>
      </w:r>
    </w:p>
    <w:p>
      <w:pPr>
        <w:pStyle w:val="BodyText"/>
        <w:spacing w:before="3"/>
        <w:rPr>
          <w:sz w:val="23"/>
        </w:rPr>
      </w:pPr>
    </w:p>
    <w:p>
      <w:pPr>
        <w:pStyle w:val="BodyText"/>
        <w:spacing w:line="259" w:lineRule="auto" w:before="1"/>
        <w:ind w:left="740" w:right="1391"/>
      </w:pPr>
      <w:r>
        <w:rPr>
          <w:color w:val="767070"/>
          <w:sz w:val="20"/>
        </w:rPr>
        <w:t>PRP assisted </w:t>
      </w:r>
      <w:r>
        <w:rPr>
          <w:color w:val="767070"/>
        </w:rPr>
        <w:t>the MoJ in preparing a Summary Report for the Minister of Justice to present at the meeting of the Inter-Ministerial Coordination Group on Human Rights; and in updating the Economic Reform Programme (ERP) on activities on property rights. PRP also provided comments on the Draft Report prepared by the EU Twinning Project on Support to Kosovo Institutions on the Stabilization and Association Agreement; and reviewed the MFA’s Draft Analyses on the State of Economic Diplomacy. The MoJ requested PRP to conduct this review to identify recommendations that bear on the National Strategy on Property Rights which could have an impact on economic development and increasing</w:t>
      </w:r>
      <w:r>
        <w:rPr>
          <w:color w:val="767070"/>
          <w:spacing w:val="1"/>
        </w:rPr>
        <w:t> </w:t>
      </w:r>
      <w:r>
        <w:rPr>
          <w:color w:val="767070"/>
        </w:rPr>
        <w:t>investment.</w:t>
      </w:r>
    </w:p>
    <w:p>
      <w:pPr>
        <w:pStyle w:val="BodyText"/>
        <w:spacing w:before="6"/>
        <w:rPr>
          <w:sz w:val="23"/>
        </w:rPr>
      </w:pPr>
    </w:p>
    <w:p>
      <w:pPr>
        <w:pStyle w:val="BodyText"/>
        <w:spacing w:line="259" w:lineRule="auto"/>
        <w:ind w:left="740" w:right="1736"/>
      </w:pPr>
      <w:r>
        <w:rPr>
          <w:color w:val="C00000"/>
        </w:rPr>
        <w:t>CLOSE COORDINATION CONTINUES WITH THE EU-FUNDED SUPPORT FOR THE CIVIL CODE PROJECT, PHASE 2 (CCP2)</w:t>
      </w:r>
    </w:p>
    <w:p>
      <w:pPr>
        <w:pStyle w:val="BodyText"/>
        <w:spacing w:before="8"/>
        <w:rPr>
          <w:sz w:val="23"/>
        </w:rPr>
      </w:pPr>
    </w:p>
    <w:p>
      <w:pPr>
        <w:pStyle w:val="BodyText"/>
        <w:spacing w:line="259" w:lineRule="auto"/>
        <w:ind w:left="740" w:right="1645"/>
      </w:pPr>
      <w:r>
        <w:rPr>
          <w:color w:val="767070"/>
        </w:rPr>
        <w:t>PRP and CCP2agreed on the approach for legislating property rights in the Civil Code and special laws developed under the NSPR. PRP documented the agreement, with USAID comments in a memo signed by both projects and jointly presented to the Ministry of Justice (MoJ).</w:t>
      </w:r>
    </w:p>
    <w:p>
      <w:pPr>
        <w:spacing w:after="0" w:line="259" w:lineRule="auto"/>
        <w:sectPr>
          <w:pgSz w:w="11910" w:h="16840"/>
          <w:pgMar w:header="0" w:footer="720" w:top="1320" w:bottom="900" w:left="700" w:right="100"/>
        </w:sectPr>
      </w:pPr>
    </w:p>
    <w:p>
      <w:pPr>
        <w:pStyle w:val="BodyText"/>
        <w:spacing w:before="80"/>
        <w:ind w:left="740"/>
      </w:pPr>
      <w:r>
        <w:rPr>
          <w:color w:val="C00000"/>
        </w:rPr>
        <w:t>INFORMING INTERNATIONAL STAKEHOLDERS ABOUT THE KPCVA LAW</w:t>
      </w:r>
    </w:p>
    <w:p>
      <w:pPr>
        <w:pStyle w:val="BodyText"/>
        <w:spacing w:before="8"/>
        <w:rPr>
          <w:sz w:val="23"/>
        </w:rPr>
      </w:pPr>
    </w:p>
    <w:p>
      <w:pPr>
        <w:pStyle w:val="BodyText"/>
        <w:ind w:left="740" w:right="1365"/>
      </w:pPr>
      <w:r>
        <w:rPr>
          <w:color w:val="767070"/>
        </w:rPr>
        <w:t>PRP met with representatives of, respectively, the US Embassy, United Nations High Commissioner for Refugees (UNHCR) and the European Union Special Representative (EUSR) in separate meetings to explain the thrust of the proposed amendments and secure support for this initiative.</w:t>
      </w:r>
    </w:p>
    <w:p>
      <w:pPr>
        <w:pStyle w:val="BodyText"/>
      </w:pPr>
    </w:p>
    <w:p>
      <w:pPr>
        <w:pStyle w:val="BodyText"/>
        <w:spacing w:line="259" w:lineRule="auto"/>
        <w:ind w:left="740" w:right="2410"/>
      </w:pPr>
      <w:r>
        <w:rPr>
          <w:color w:val="C00000"/>
        </w:rPr>
        <w:t>EXPLORING COLLABORATION WITH THE OFFICE OF THE OMBUDSPERSON ON PROPERTY RIGHTS ISSUES</w:t>
      </w:r>
    </w:p>
    <w:p>
      <w:pPr>
        <w:pStyle w:val="BodyText"/>
        <w:spacing w:before="159"/>
        <w:ind w:left="740" w:right="1536"/>
      </w:pPr>
      <w:r>
        <w:rPr>
          <w:color w:val="767070"/>
        </w:rPr>
        <w:t>Potential areas of collaboration with the OO include: supporting a fully open and transparent cadastre; eliminating property transaction tax; eliminating requirement to demonstrate payment of property tax to obtain property rights certificates contrary to Kosovo law; amending Law on Anti- Money Laundering to exempt transactions prior to 2005 to reduce informality.</w:t>
      </w:r>
    </w:p>
    <w:p>
      <w:pPr>
        <w:pStyle w:val="BodyText"/>
        <w:spacing w:before="10"/>
        <w:rPr>
          <w:sz w:val="25"/>
        </w:rPr>
      </w:pPr>
    </w:p>
    <w:p>
      <w:pPr>
        <w:pStyle w:val="BodyText"/>
        <w:spacing w:line="264" w:lineRule="auto"/>
        <w:ind w:left="740" w:right="1743"/>
      </w:pPr>
      <w:r>
        <w:rPr>
          <w:color w:val="C00000"/>
        </w:rPr>
        <w:t>ALBANIAN TRANSLATION OF EUROPEAN VALUATION STANDARDS COMPLETED AND PUBLISHED</w:t>
      </w:r>
    </w:p>
    <w:p>
      <w:pPr>
        <w:pStyle w:val="BodyText"/>
        <w:spacing w:line="259" w:lineRule="auto" w:before="217"/>
        <w:ind w:left="740" w:right="1448"/>
      </w:pPr>
      <w:r>
        <w:rPr>
          <w:color w:val="767070"/>
        </w:rPr>
        <w:t>PRP published the translation and is distributing copies to appraisers, judges, lawyers, notaries and relevant officials. PRP is also seeking to have digital versions of these texts posted in the web pages of the Kosovo Association of Appraisers and other institutions.</w:t>
      </w:r>
    </w:p>
    <w:p>
      <w:pPr>
        <w:pStyle w:val="BodyText"/>
        <w:rPr>
          <w:sz w:val="13"/>
        </w:rPr>
      </w:pPr>
    </w:p>
    <w:p>
      <w:pPr>
        <w:tabs>
          <w:tab w:pos="9797" w:val="left" w:leader="none"/>
        </w:tabs>
        <w:spacing w:before="99"/>
        <w:ind w:left="711" w:right="0" w:firstLine="0"/>
        <w:jc w:val="left"/>
        <w:rPr>
          <w:b/>
          <w:sz w:val="20"/>
        </w:rPr>
      </w:pPr>
      <w:r>
        <w:rPr>
          <w:b/>
          <w:color w:val="FFFFFF"/>
          <w:spacing w:val="-27"/>
          <w:w w:val="99"/>
          <w:sz w:val="20"/>
          <w:shd w:fill="6C6362" w:color="auto" w:val="clear"/>
        </w:rPr>
        <w:t> </w:t>
      </w:r>
      <w:r>
        <w:rPr>
          <w:b/>
          <w:color w:val="FFFFFF"/>
          <w:sz w:val="20"/>
          <w:shd w:fill="6C6362" w:color="auto" w:val="clear"/>
        </w:rPr>
        <w:t>OBJECTIVE 2: IMPROVED COURT PROCEDURES RELATED TO PROPERTY</w:t>
      </w:r>
      <w:r>
        <w:rPr>
          <w:b/>
          <w:color w:val="FFFFFF"/>
          <w:spacing w:val="-15"/>
          <w:sz w:val="20"/>
          <w:shd w:fill="6C6362" w:color="auto" w:val="clear"/>
        </w:rPr>
        <w:t> </w:t>
      </w:r>
      <w:r>
        <w:rPr>
          <w:b/>
          <w:color w:val="FFFFFF"/>
          <w:sz w:val="20"/>
          <w:shd w:fill="6C6362" w:color="auto" w:val="clear"/>
        </w:rPr>
        <w:t>CLAIMS</w:t>
        <w:tab/>
      </w:r>
    </w:p>
    <w:p>
      <w:pPr>
        <w:pStyle w:val="BodyText"/>
        <w:spacing w:before="2"/>
        <w:rPr>
          <w:b/>
          <w:sz w:val="24"/>
        </w:rPr>
      </w:pPr>
    </w:p>
    <w:p>
      <w:pPr>
        <w:pStyle w:val="BodyText"/>
        <w:ind w:left="740"/>
      </w:pPr>
      <w:bookmarkStart w:name="_bookmark3" w:id="4"/>
      <w:bookmarkEnd w:id="4"/>
      <w:r>
        <w:rPr/>
      </w:r>
      <w:r>
        <w:rPr>
          <w:color w:val="C00000"/>
        </w:rPr>
        <w:t>INSTITUTIONALIZATION OF CASE FLOW MANAGEMENT REFORMS</w:t>
      </w:r>
    </w:p>
    <w:p>
      <w:pPr>
        <w:pStyle w:val="BodyText"/>
        <w:spacing w:line="259" w:lineRule="auto" w:before="121"/>
        <w:ind w:left="740" w:right="1452"/>
      </w:pPr>
      <w:r>
        <w:rPr>
          <w:color w:val="767070"/>
        </w:rPr>
        <w:t>The Peje Basic Court has permanently hired Legal Associates (LAs) to carry out the functions defined in PRP’s CFM assessments to improve court efficiency. The hired LAs were previously trained and seconded to the court by PRP. The LAs contribution to court efficiency was recognized by the court and the KJC and the position will now become permanent with state funding.</w:t>
      </w:r>
    </w:p>
    <w:p>
      <w:pPr>
        <w:pStyle w:val="BodyText"/>
        <w:spacing w:before="8"/>
        <w:rPr>
          <w:sz w:val="20"/>
        </w:rPr>
      </w:pPr>
    </w:p>
    <w:p>
      <w:pPr>
        <w:pStyle w:val="BodyText"/>
        <w:ind w:left="740"/>
      </w:pPr>
      <w:r>
        <w:rPr>
          <w:color w:val="C00000"/>
        </w:rPr>
        <w:t>IMPROVED CFM PRACTICES CONTINUE TO PRODUCE POSITIVE RESULTS</w:t>
      </w:r>
    </w:p>
    <w:p>
      <w:pPr>
        <w:pStyle w:val="BodyText"/>
        <w:spacing w:line="259" w:lineRule="auto" w:before="180"/>
        <w:ind w:left="740" w:right="1358"/>
      </w:pPr>
      <w:r>
        <w:rPr>
          <w:color w:val="767070"/>
        </w:rPr>
        <w:t>PRP’s support to the CoMs since December 2016 have assisted judges to issue a total of 10,625 decisions including 2, 059 decisions to dispose the case, and 8,566 procedural actions related to the first and second stages of a case to more efficiently and quickly advance the cases to final disposition.</w:t>
      </w:r>
    </w:p>
    <w:p>
      <w:pPr>
        <w:pStyle w:val="BodyText"/>
        <w:spacing w:before="6"/>
        <w:rPr>
          <w:sz w:val="20"/>
        </w:rPr>
      </w:pPr>
    </w:p>
    <w:p>
      <w:pPr>
        <w:pStyle w:val="BodyText"/>
        <w:spacing w:line="259" w:lineRule="auto" w:before="1"/>
        <w:ind w:left="740" w:right="1724"/>
      </w:pPr>
      <w:r>
        <w:rPr>
          <w:color w:val="C00000"/>
        </w:rPr>
        <w:t>PRP AND THE JUDICIAL STRENGTHENING SUPPORT PROJECT (JSSP) COLLABORATE TO PRODUCE COURT GUIDANCE</w:t>
      </w:r>
    </w:p>
    <w:p>
      <w:pPr>
        <w:pStyle w:val="BodyText"/>
        <w:spacing w:before="9"/>
        <w:rPr>
          <w:sz w:val="20"/>
        </w:rPr>
      </w:pPr>
    </w:p>
    <w:p>
      <w:pPr>
        <w:spacing w:line="259" w:lineRule="auto" w:before="0"/>
        <w:ind w:left="740" w:right="1432" w:firstLine="0"/>
        <w:jc w:val="left"/>
        <w:rPr>
          <w:sz w:val="22"/>
        </w:rPr>
      </w:pPr>
      <w:r>
        <w:rPr>
          <w:color w:val="767070"/>
          <w:sz w:val="22"/>
        </w:rPr>
        <w:t>The two USAID projects combined JSSP’s </w:t>
      </w:r>
      <w:r>
        <w:rPr>
          <w:i/>
          <w:color w:val="767070"/>
          <w:sz w:val="22"/>
        </w:rPr>
        <w:t>Bench Book </w:t>
      </w:r>
      <w:r>
        <w:rPr>
          <w:color w:val="767070"/>
          <w:sz w:val="22"/>
        </w:rPr>
        <w:t>with PRP’s </w:t>
      </w:r>
      <w:r>
        <w:rPr>
          <w:i/>
          <w:color w:val="767070"/>
          <w:sz w:val="22"/>
        </w:rPr>
        <w:t>Practical Guide on the Adjudication of </w:t>
      </w:r>
      <w:r>
        <w:rPr>
          <w:i/>
          <w:color w:val="767070"/>
          <w:sz w:val="22"/>
        </w:rPr>
        <w:t>Property Rights Cases in Kosovo </w:t>
      </w:r>
      <w:r>
        <w:rPr>
          <w:color w:val="767070"/>
          <w:sz w:val="22"/>
        </w:rPr>
        <w:t>into a single product to help improve court performance. JSSP acknowledged the value of PRP’s contribution to include more practical guidance to resolve property claims and disputes which present particular legal challenges judges must resolve.</w:t>
      </w:r>
    </w:p>
    <w:p>
      <w:pPr>
        <w:pStyle w:val="BodyText"/>
        <w:spacing w:before="8"/>
        <w:rPr>
          <w:sz w:val="20"/>
        </w:rPr>
      </w:pPr>
    </w:p>
    <w:p>
      <w:pPr>
        <w:pStyle w:val="BodyText"/>
        <w:spacing w:line="256" w:lineRule="auto"/>
        <w:ind w:left="740" w:right="1886"/>
      </w:pPr>
      <w:r>
        <w:rPr>
          <w:color w:val="C00000"/>
        </w:rPr>
        <w:t>COLLABORATION WITH SUPREME COURT TO PRODUCE GUIDELINES ON PROPERTY RIGHTS DISPUTES</w:t>
      </w:r>
    </w:p>
    <w:p>
      <w:pPr>
        <w:pStyle w:val="BodyText"/>
        <w:rPr>
          <w:sz w:val="23"/>
        </w:rPr>
      </w:pPr>
    </w:p>
    <w:p>
      <w:pPr>
        <w:pStyle w:val="BodyText"/>
        <w:spacing w:line="264" w:lineRule="auto" w:before="1"/>
        <w:ind w:left="740" w:right="1338"/>
      </w:pPr>
      <w:r>
        <w:rPr>
          <w:color w:val="767070"/>
        </w:rPr>
        <w:t>This initiative will assist the Supreme Court to help lower courts deal more effectively and uniformly with issues in property rights disputes. PRP has identified 139 Supreme Court decisions that address these issues and has helped the Supreme Court hire four legal assistants to support the judges to produce the guidelines.</w:t>
      </w:r>
    </w:p>
    <w:p>
      <w:pPr>
        <w:spacing w:after="0" w:line="264" w:lineRule="auto"/>
        <w:sectPr>
          <w:pgSz w:w="11910" w:h="16840"/>
          <w:pgMar w:header="0" w:footer="720" w:top="1320" w:bottom="900" w:left="700" w:right="100"/>
        </w:sectPr>
      </w:pPr>
    </w:p>
    <w:p>
      <w:pPr>
        <w:pStyle w:val="BodyText"/>
        <w:spacing w:line="259" w:lineRule="auto" w:before="80"/>
        <w:ind w:left="740" w:right="2483"/>
      </w:pPr>
      <w:bookmarkStart w:name="_bookmark4" w:id="5"/>
      <w:bookmarkEnd w:id="5"/>
      <w:r>
        <w:rPr/>
      </w:r>
      <w:r>
        <w:rPr>
          <w:color w:val="C00000"/>
        </w:rPr>
        <w:t>SUMMARIES PUBLISHED IN ALBANIAN AND SERBIAN OF 144 DECISIONS OF THE EUROPEAN COURT OF HUMAN RIGHTS ON PROPERTY RIGHTS</w:t>
      </w:r>
    </w:p>
    <w:p>
      <w:pPr>
        <w:pStyle w:val="BodyText"/>
        <w:spacing w:line="259" w:lineRule="auto" w:before="118"/>
        <w:ind w:left="740" w:right="1354"/>
      </w:pPr>
      <w:r>
        <w:rPr>
          <w:color w:val="767070"/>
        </w:rPr>
        <w:t>PRP has produced a volume of 144 summaries in Albanian and Serbian of decisions of the European Court of Human Rights (ECHR) that concern property rights. ECHR decisions are incorporated into the applicable law in Kosovo and the summaries will assist judges and lawyers comply with ECHR guidance.</w:t>
      </w:r>
    </w:p>
    <w:p>
      <w:pPr>
        <w:pStyle w:val="BodyText"/>
        <w:spacing w:before="8"/>
        <w:rPr>
          <w:sz w:val="20"/>
        </w:rPr>
      </w:pPr>
    </w:p>
    <w:p>
      <w:pPr>
        <w:pStyle w:val="BodyText"/>
        <w:spacing w:line="259" w:lineRule="auto"/>
        <w:ind w:left="740" w:right="1390"/>
      </w:pPr>
      <w:r>
        <w:rPr>
          <w:color w:val="767070"/>
        </w:rPr>
        <w:t>The Kosovo Supreme Court and Kosovo Judicial Academy have posted digital versions of the ECHR Case Summaries on their web sites and PRP supported a public event to raise awareness about the initiative and citizens’ human rights as they pertain to property.</w:t>
      </w:r>
    </w:p>
    <w:p>
      <w:pPr>
        <w:pStyle w:val="BodyText"/>
        <w:spacing w:before="7"/>
        <w:rPr>
          <w:sz w:val="20"/>
        </w:rPr>
      </w:pPr>
    </w:p>
    <w:p>
      <w:pPr>
        <w:pStyle w:val="BodyText"/>
        <w:ind w:left="740"/>
      </w:pPr>
      <w:bookmarkStart w:name="_bookmark5" w:id="6"/>
      <w:bookmarkEnd w:id="6"/>
      <w:r>
        <w:rPr/>
      </w:r>
      <w:r>
        <w:rPr>
          <w:color w:val="C00000"/>
        </w:rPr>
        <w:t>DEVELOPING TRAINING MODULES ON LEGAL TOPICS</w:t>
      </w:r>
    </w:p>
    <w:p>
      <w:pPr>
        <w:pStyle w:val="BodyText"/>
        <w:spacing w:line="264" w:lineRule="auto" w:before="206"/>
        <w:ind w:left="740" w:right="1358"/>
      </w:pPr>
      <w:r>
        <w:rPr>
          <w:color w:val="767070"/>
        </w:rPr>
        <w:t>In close collaboration with the Kosovo Academy of Justice (KAJ), PRP commenced development of training modules on Gender Sensitivity; ECHR Practice in Property Rights; and Property Rights Issues in Kosovo Judicial Practice. PRP has identified and hired four local experts to provide STTA to develop these training modules, they will work closely with their KAJ</w:t>
      </w:r>
      <w:r>
        <w:rPr>
          <w:color w:val="767070"/>
          <w:spacing w:val="-18"/>
        </w:rPr>
        <w:t> </w:t>
      </w:r>
      <w:r>
        <w:rPr>
          <w:color w:val="767070"/>
        </w:rPr>
        <w:t>counterparts.</w:t>
      </w:r>
    </w:p>
    <w:p>
      <w:pPr>
        <w:pStyle w:val="BodyText"/>
        <w:spacing w:line="256" w:lineRule="auto" w:before="214"/>
        <w:ind w:left="740" w:right="2228"/>
      </w:pPr>
      <w:r>
        <w:rPr>
          <w:color w:val="C00000"/>
        </w:rPr>
        <w:t>AMENDING KPCVA LAW TO CREATE EXPEDITED PROCEDURES FOR ADDRESSING INFORMALITY</w:t>
      </w:r>
    </w:p>
    <w:p>
      <w:pPr>
        <w:pStyle w:val="BodyText"/>
        <w:spacing w:line="256" w:lineRule="auto" w:before="165"/>
        <w:ind w:left="740" w:right="1399"/>
      </w:pPr>
      <w:r>
        <w:rPr>
          <w:color w:val="767070"/>
        </w:rPr>
        <w:t>PRP prepared the Explanatory Memorandum to support the GoK adoption of the amendments. The draft legislation is now in Parliament.</w:t>
      </w:r>
    </w:p>
    <w:p>
      <w:pPr>
        <w:pStyle w:val="BodyText"/>
        <w:rPr>
          <w:sz w:val="21"/>
        </w:rPr>
      </w:pPr>
    </w:p>
    <w:p>
      <w:pPr>
        <w:pStyle w:val="BodyText"/>
        <w:spacing w:line="259" w:lineRule="auto"/>
        <w:ind w:left="740" w:right="1602"/>
      </w:pPr>
      <w:bookmarkStart w:name="_bookmark6" w:id="7"/>
      <w:bookmarkEnd w:id="7"/>
      <w:r>
        <w:rPr/>
      </w:r>
      <w:r>
        <w:rPr>
          <w:color w:val="C00000"/>
        </w:rPr>
        <w:t>INITIATIAVE LAUNCHED FOR MODERN NOTIFICATION PRACTICE THAT STRENGTHENS DUE PROCESS</w:t>
      </w:r>
    </w:p>
    <w:p>
      <w:pPr>
        <w:pStyle w:val="BodyText"/>
        <w:spacing w:line="259" w:lineRule="auto" w:before="119"/>
        <w:ind w:left="740" w:right="1485"/>
      </w:pPr>
      <w:r>
        <w:rPr>
          <w:color w:val="767070"/>
        </w:rPr>
        <w:t>PRP has commenced discussions with the Office of the Official Gazette (OOG) to publish notice of property rights proceedings and decisions issued by GoK institutions. PRP has provided the OOG with an analytical memorandum on the proposed initiative and a draft Memorandum of Understanding. Thus far the OOG has been very receptive.</w:t>
      </w:r>
    </w:p>
    <w:p>
      <w:pPr>
        <w:pStyle w:val="BodyText"/>
        <w:spacing w:before="2"/>
        <w:rPr>
          <w:sz w:val="12"/>
        </w:rPr>
      </w:pPr>
    </w:p>
    <w:p>
      <w:pPr>
        <w:tabs>
          <w:tab w:pos="9797" w:val="left" w:leader="none"/>
        </w:tabs>
        <w:spacing w:before="100"/>
        <w:ind w:left="711" w:right="0" w:firstLine="0"/>
        <w:jc w:val="left"/>
        <w:rPr>
          <w:b/>
          <w:sz w:val="20"/>
        </w:rPr>
      </w:pPr>
      <w:r>
        <w:rPr>
          <w:b/>
          <w:color w:val="FFFFFF"/>
          <w:spacing w:val="-27"/>
          <w:w w:val="99"/>
          <w:sz w:val="20"/>
          <w:shd w:fill="6C6362" w:color="auto" w:val="clear"/>
        </w:rPr>
        <w:t> </w:t>
      </w:r>
      <w:r>
        <w:rPr>
          <w:b/>
          <w:color w:val="FFFFFF"/>
          <w:sz w:val="20"/>
          <w:shd w:fill="6C6362" w:color="auto" w:val="clear"/>
        </w:rPr>
        <w:t>OBJECTIVE 3: ENHANCED WOMEN’S RIGHTS TO USE PROPERTY IN</w:t>
      </w:r>
      <w:r>
        <w:rPr>
          <w:b/>
          <w:color w:val="FFFFFF"/>
          <w:spacing w:val="-26"/>
          <w:sz w:val="20"/>
          <w:shd w:fill="6C6362" w:color="auto" w:val="clear"/>
        </w:rPr>
        <w:t> </w:t>
      </w:r>
      <w:r>
        <w:rPr>
          <w:b/>
          <w:color w:val="FFFFFF"/>
          <w:sz w:val="20"/>
          <w:shd w:fill="6C6362" w:color="auto" w:val="clear"/>
        </w:rPr>
        <w:t>PRACTICE</w:t>
        <w:tab/>
      </w:r>
    </w:p>
    <w:p>
      <w:pPr>
        <w:pStyle w:val="BodyText"/>
        <w:spacing w:before="2"/>
        <w:rPr>
          <w:b/>
          <w:sz w:val="25"/>
        </w:rPr>
      </w:pPr>
    </w:p>
    <w:p>
      <w:pPr>
        <w:pStyle w:val="BodyText"/>
        <w:ind w:left="740"/>
      </w:pPr>
      <w:r>
        <w:rPr>
          <w:color w:val="C00000"/>
        </w:rPr>
        <w:t>ROBUST MEDIA CAMPAIGN CONTINUES ON WOMEN’S PROPERTY RIGHTS</w:t>
      </w:r>
    </w:p>
    <w:p>
      <w:pPr>
        <w:pStyle w:val="BodyText"/>
        <w:spacing w:before="7"/>
        <w:rPr>
          <w:sz w:val="25"/>
        </w:rPr>
      </w:pPr>
    </w:p>
    <w:p>
      <w:pPr>
        <w:pStyle w:val="BodyText"/>
        <w:spacing w:line="259" w:lineRule="auto"/>
        <w:ind w:left="740" w:right="1557"/>
      </w:pPr>
      <w:r>
        <w:rPr>
          <w:color w:val="767070"/>
        </w:rPr>
        <w:t>PRP arranged for existing public service announcements (PSAs) to be aired again, with a billboard campaign conducted in parallel to complement the PSA campaign. In addition, PRP finalized the concept and completed production of a new PSA that will begin airing in October 2018. PRP also arranged for the Head Banner in prominent social media to promote women’s property rights and PRP’s other outreach activities.</w:t>
      </w:r>
    </w:p>
    <w:p>
      <w:pPr>
        <w:pStyle w:val="BodyText"/>
        <w:spacing w:before="7"/>
        <w:rPr>
          <w:sz w:val="23"/>
        </w:rPr>
      </w:pPr>
    </w:p>
    <w:p>
      <w:pPr>
        <w:pStyle w:val="BodyText"/>
        <w:spacing w:line="259" w:lineRule="auto"/>
        <w:ind w:left="740" w:right="1409"/>
      </w:pPr>
      <w:r>
        <w:rPr>
          <w:color w:val="C00000"/>
        </w:rPr>
        <w:t>SUPPORT TO ENGAGEMENT FOR EQUITY (E4E) SUB-GRANTEE CONDUCTING OUTREACH IN GJILAN MUNICIPALITY</w:t>
      </w:r>
    </w:p>
    <w:p>
      <w:pPr>
        <w:pStyle w:val="BodyText"/>
        <w:spacing w:before="8"/>
        <w:rPr>
          <w:sz w:val="23"/>
        </w:rPr>
      </w:pPr>
    </w:p>
    <w:p>
      <w:pPr>
        <w:pStyle w:val="BodyText"/>
        <w:spacing w:line="259" w:lineRule="auto"/>
        <w:ind w:left="740" w:right="1514"/>
      </w:pPr>
      <w:r>
        <w:rPr>
          <w:color w:val="6C6362"/>
        </w:rPr>
        <w:t>PRP has supported the E4E sub-grantee, “Gruaja Hyjnore,” with information leaflets and brochures for use in their lectures and dissemination activities. Gruaja Hyjnore held number of awareness- raising workshops and meetings with women in the Gjilani area, including in villages and with the high school students.</w:t>
      </w:r>
    </w:p>
    <w:p>
      <w:pPr>
        <w:spacing w:after="0" w:line="259" w:lineRule="auto"/>
        <w:sectPr>
          <w:pgSz w:w="11910" w:h="16840"/>
          <w:pgMar w:header="0" w:footer="720" w:top="1320" w:bottom="900" w:left="700" w:right="100"/>
        </w:sectPr>
      </w:pPr>
    </w:p>
    <w:p>
      <w:pPr>
        <w:pStyle w:val="BodyText"/>
        <w:spacing w:line="259" w:lineRule="auto" w:before="80"/>
        <w:ind w:left="740" w:right="1612"/>
      </w:pPr>
      <w:r>
        <w:rPr>
          <w:color w:val="C00000"/>
        </w:rPr>
        <w:t>HELPING MGO’S INCREASE PUBLIC ENGAGEMENT IN SUPPORT OF WOMEN’S PROPERTY RIGHTS</w:t>
      </w:r>
    </w:p>
    <w:p>
      <w:pPr>
        <w:pStyle w:val="BodyText"/>
        <w:rPr>
          <w:sz w:val="26"/>
        </w:rPr>
      </w:pPr>
    </w:p>
    <w:p>
      <w:pPr>
        <w:pStyle w:val="BodyText"/>
        <w:spacing w:line="259" w:lineRule="auto" w:before="217"/>
        <w:ind w:left="740" w:right="1534"/>
      </w:pPr>
      <w:r>
        <w:rPr>
          <w:color w:val="767070"/>
        </w:rPr>
        <w:t>PRP is working closely with Municipal Gender Officers (MGO’s) in Suharekë/Suva Reka, Mitrovicë/Mitrovica, Lipjan/Ljipjane, Gjakova/Đjakovica, Dragash/Dragaš, Viti/Vitina and Shtërpcë/Šterpce -- to develop joint plans of activities in their communities to support women’s property rights. In that connection PRP and the MGO from Suharekë/Suva, Reka held a workshop with the local assembly women’s caucus and municipal staff on women’s property rights. The workshop concluded with a list of recommendations from the participants on how local assembly members and municipal staff can support women’s property rights in their municipality.</w:t>
      </w:r>
    </w:p>
    <w:p>
      <w:pPr>
        <w:pStyle w:val="BodyText"/>
        <w:spacing w:before="9"/>
        <w:rPr>
          <w:sz w:val="23"/>
        </w:rPr>
      </w:pPr>
    </w:p>
    <w:p>
      <w:pPr>
        <w:pStyle w:val="BodyText"/>
        <w:ind w:left="740"/>
      </w:pPr>
      <w:r>
        <w:rPr>
          <w:color w:val="C00000"/>
        </w:rPr>
        <w:t>PREPARATIONS COMPLETED FOR END-LINE NATIONAL SURVEY ON PROPERTY RIGHTS</w:t>
      </w:r>
    </w:p>
    <w:p>
      <w:pPr>
        <w:pStyle w:val="BodyText"/>
        <w:spacing w:before="8"/>
        <w:rPr>
          <w:sz w:val="23"/>
        </w:rPr>
      </w:pPr>
    </w:p>
    <w:p>
      <w:pPr>
        <w:pStyle w:val="BodyText"/>
        <w:spacing w:line="256" w:lineRule="auto"/>
        <w:ind w:left="740" w:right="1397"/>
      </w:pPr>
      <w:r>
        <w:rPr>
          <w:color w:val="767070"/>
        </w:rPr>
        <w:t>PRP has awarded the subcontract to UBO Consulting (UBO) to conduct the end-line survey. It is expected that UBO will begin its work on or about October 1, 2018 and will complete it by the end of February 2019. UBO will survey 1,500 households, which is the number required to produce a statistically significant sample that is representative for the entire country.</w:t>
      </w:r>
    </w:p>
    <w:p>
      <w:pPr>
        <w:pStyle w:val="BodyText"/>
        <w:rPr>
          <w:sz w:val="23"/>
        </w:rPr>
      </w:pPr>
      <w:r>
        <w:rPr/>
        <w:pict>
          <v:shape style="position:absolute;margin-left:70.584pt;margin-top:14.576738pt;width:454.3pt;height:25pt;mso-position-horizontal-relative:page;mso-position-vertical-relative:paragraph;z-index:-1000;mso-wrap-distance-left:0;mso-wrap-distance-right:0" type="#_x0000_t202" filled="true" fillcolor="#6c6362" stroked="false">
            <v:textbox inset="0,0,0,0">
              <w:txbxContent>
                <w:p>
                  <w:pPr>
                    <w:spacing w:line="212" w:lineRule="exact" w:before="0"/>
                    <w:ind w:left="28" w:right="0" w:firstLine="0"/>
                    <w:jc w:val="left"/>
                    <w:rPr>
                      <w:b/>
                      <w:sz w:val="20"/>
                    </w:rPr>
                  </w:pPr>
                  <w:r>
                    <w:rPr>
                      <w:b/>
                      <w:color w:val="FFFFFF"/>
                      <w:sz w:val="20"/>
                    </w:rPr>
                    <w:t>OBJECTIVE 4: IMPROVED COMMUNICATION, ACCESS TO INFORMATION AND</w:t>
                  </w:r>
                </w:p>
                <w:p>
                  <w:pPr>
                    <w:spacing w:before="17"/>
                    <w:ind w:left="28" w:right="0" w:firstLine="0"/>
                    <w:jc w:val="left"/>
                    <w:rPr>
                      <w:b/>
                      <w:sz w:val="20"/>
                    </w:rPr>
                  </w:pPr>
                  <w:r>
                    <w:rPr>
                      <w:b/>
                      <w:color w:val="FFFFFF"/>
                      <w:sz w:val="20"/>
                    </w:rPr>
                    <w:t>UNDERSTANDING OF PROPERTY RIGHTS</w:t>
                  </w:r>
                </w:p>
              </w:txbxContent>
            </v:textbox>
            <v:fill type="solid"/>
            <w10:wrap type="topAndBottom"/>
          </v:shape>
        </w:pict>
      </w:r>
    </w:p>
    <w:p>
      <w:pPr>
        <w:pStyle w:val="BodyText"/>
        <w:spacing w:before="10"/>
        <w:rPr>
          <w:sz w:val="10"/>
        </w:rPr>
      </w:pPr>
    </w:p>
    <w:p>
      <w:pPr>
        <w:pStyle w:val="BodyText"/>
        <w:spacing w:before="101"/>
        <w:ind w:left="740"/>
      </w:pPr>
      <w:bookmarkStart w:name="_bookmark7" w:id="8"/>
      <w:bookmarkEnd w:id="8"/>
      <w:r>
        <w:rPr/>
      </w:r>
      <w:r>
        <w:rPr>
          <w:color w:val="C21139"/>
        </w:rPr>
        <w:t>PRP CONCLUDES SUCCESSFUL SERIES OF REGIONAL ROUNDTABLES FOR MOC’S</w:t>
      </w:r>
    </w:p>
    <w:p>
      <w:pPr>
        <w:pStyle w:val="BodyText"/>
        <w:spacing w:line="259" w:lineRule="auto" w:before="121"/>
        <w:ind w:left="740" w:right="1554"/>
      </w:pPr>
      <w:r>
        <w:rPr>
          <w:color w:val="767070"/>
        </w:rPr>
        <w:t>PRP completed its series of five regional (30 municipalities) training workshops on property registration service delivery, with the fifth regional workshop for MCO’s held in Peja/ Peć. The workshops were designed to focus attention and foster constructive discussion on specific challenges and problematic issues confronting MCOs that PRP has identified through its work with MCOs to date.</w:t>
      </w:r>
    </w:p>
    <w:p>
      <w:pPr>
        <w:pStyle w:val="BodyText"/>
        <w:spacing w:before="7"/>
        <w:rPr>
          <w:sz w:val="23"/>
        </w:rPr>
      </w:pPr>
    </w:p>
    <w:p>
      <w:pPr>
        <w:pStyle w:val="BodyText"/>
        <w:spacing w:line="259" w:lineRule="auto" w:before="1"/>
        <w:ind w:left="740" w:right="1334"/>
        <w:jc w:val="both"/>
      </w:pPr>
      <w:r>
        <w:rPr>
          <w:color w:val="767070"/>
        </w:rPr>
        <w:t>PRP prepared and distributed to all the participants a detailed analytical memorandum that described the issues and challenges that were discussed; included recommendations on how they can be addressed; and indicates where and how PRP will help address the problems identified.</w:t>
      </w:r>
    </w:p>
    <w:p>
      <w:pPr>
        <w:pStyle w:val="BodyText"/>
        <w:spacing w:before="8"/>
        <w:rPr>
          <w:sz w:val="23"/>
        </w:rPr>
      </w:pPr>
    </w:p>
    <w:p>
      <w:pPr>
        <w:pStyle w:val="BodyText"/>
        <w:spacing w:line="259" w:lineRule="auto"/>
        <w:ind w:left="740" w:right="1931"/>
      </w:pPr>
      <w:r>
        <w:rPr>
          <w:color w:val="C00000"/>
        </w:rPr>
        <w:t>MUNICIPALITIES POSTING PRP’S “HOW TO REGISTER...” BROCHURE SERIES ON THEIR WEBPAGES</w:t>
      </w:r>
    </w:p>
    <w:p>
      <w:pPr>
        <w:pStyle w:val="BodyText"/>
        <w:spacing w:line="259" w:lineRule="auto" w:before="160"/>
        <w:ind w:left="740" w:right="1684"/>
      </w:pPr>
      <w:r>
        <w:rPr>
          <w:color w:val="767070"/>
        </w:rPr>
        <w:t>PRP has produced brochures that provide citizens with guidance on registering property rights arising in four different scenarios (from inheritance; purchase and sale; court judgment; and gifts). Thus far, eleven municipalities have published digital copies of the brochure on their websites.</w:t>
      </w:r>
    </w:p>
    <w:p>
      <w:pPr>
        <w:pStyle w:val="BodyText"/>
        <w:spacing w:line="259" w:lineRule="auto" w:before="160"/>
        <w:ind w:left="740" w:right="2797"/>
      </w:pPr>
      <w:r>
        <w:rPr>
          <w:color w:val="C00000"/>
        </w:rPr>
        <w:t>SECOND GENERATION E-KIOSKS BEING EXTENDED TO FOUR ADDITIONAL MUNICIPALITIES</w:t>
      </w:r>
    </w:p>
    <w:p>
      <w:pPr>
        <w:pStyle w:val="BodyText"/>
        <w:spacing w:line="259" w:lineRule="auto" w:before="159"/>
        <w:ind w:left="740" w:right="1433"/>
      </w:pPr>
      <w:r>
        <w:rPr>
          <w:color w:val="767070"/>
        </w:rPr>
        <w:t>PRP held a competitive procurement and concluded contracts with two subcontractors to upgrade six e-kiosks in four municipalities. PRP has also facilitated cooperation between each sub-contractor and the Kosovo Cadastral Agency (KCA) to ensure the e-kiosks are correctly linked to the Kosovo Cadastre Land Information System (KCLIS).</w:t>
      </w:r>
    </w:p>
    <w:p>
      <w:pPr>
        <w:spacing w:after="0" w:line="259" w:lineRule="auto"/>
        <w:sectPr>
          <w:pgSz w:w="11910" w:h="16840"/>
          <w:pgMar w:header="0" w:footer="720" w:top="1320" w:bottom="900" w:left="700" w:right="100"/>
        </w:sectPr>
      </w:pPr>
    </w:p>
    <w:p>
      <w:pPr>
        <w:pStyle w:val="BodyText"/>
        <w:spacing w:line="254" w:lineRule="auto" w:before="80"/>
        <w:ind w:left="740" w:right="2604"/>
      </w:pPr>
      <w:r>
        <w:rPr>
          <w:color w:val="C00000"/>
        </w:rPr>
        <w:t>INITIATIVE NEARLY COMPLETED TO ELIMINATE BACKLOG OF UNREGISTERED TRANSACTIONS IN ŠTRPCE/SHTËRPCË MUNICIPALITY</w:t>
      </w:r>
    </w:p>
    <w:p>
      <w:pPr>
        <w:pStyle w:val="BodyText"/>
        <w:spacing w:line="259" w:lineRule="auto" w:before="162"/>
        <w:ind w:left="740" w:right="1377"/>
      </w:pPr>
      <w:r>
        <w:rPr>
          <w:color w:val="767070"/>
        </w:rPr>
        <w:t>PRP continued to provide technical assistance by way of an STTA Expert and intern to support the Municipal Cadastral Office (MCO) to eliminate its large backlog of unregistered property transactions. To date around 4,400 files have been entered into the KCLIS, out of an estimated 5,000 total. The backlog arose when the Municipal Assembly issued an order prohibiting registration of inter-ethnic transactions. The order was subsequently nullified, but during that time the number of transactions that were submitted for registration accumulated, and the MCO did not have the resources to register them and attend to ongoing duties. Approximately 90% of the backlogged files (5,000) will be registered by the end of October 2018. Further action will need to be delayed until January, owing to Kosovo law governing short-term and long-term</w:t>
      </w:r>
      <w:r>
        <w:rPr>
          <w:color w:val="767070"/>
          <w:spacing w:val="-10"/>
        </w:rPr>
        <w:t> </w:t>
      </w:r>
      <w:r>
        <w:rPr>
          <w:color w:val="767070"/>
        </w:rPr>
        <w:t>employment.</w:t>
      </w:r>
    </w:p>
    <w:p>
      <w:pPr>
        <w:pStyle w:val="BodyText"/>
        <w:spacing w:before="9"/>
        <w:rPr>
          <w:sz w:val="23"/>
        </w:rPr>
      </w:pPr>
    </w:p>
    <w:p>
      <w:pPr>
        <w:pStyle w:val="BodyText"/>
        <w:ind w:left="740"/>
      </w:pPr>
      <w:r>
        <w:rPr>
          <w:color w:val="C00000"/>
        </w:rPr>
        <w:t>MUNICIPALITIES SELECTED FOR NEW LEASING INITIATIVE</w:t>
      </w:r>
    </w:p>
    <w:p>
      <w:pPr>
        <w:pStyle w:val="BodyText"/>
        <w:spacing w:line="259" w:lineRule="auto" w:before="136"/>
        <w:ind w:left="740" w:right="1331"/>
        <w:jc w:val="both"/>
      </w:pPr>
      <w:r>
        <w:rPr>
          <w:color w:val="767070"/>
        </w:rPr>
        <w:t>PRP has commenced an initiative to assist selected municipalities in leasing municipal arable land to the private sector. Following the conclusion of the regional workshops with MCO’s, PRP made fact- finding trips to ten potential partner municipalities to ascertain their officials’ level of support for this initiative. PRP also consulted with USAID AGRO, USAID EMPOWER, USAID P4D and USAID AKT- LS.</w:t>
      </w:r>
      <w:r>
        <w:rPr>
          <w:color w:val="767070"/>
          <w:spacing w:val="-10"/>
        </w:rPr>
        <w:t> </w:t>
      </w:r>
      <w:r>
        <w:rPr>
          <w:color w:val="767070"/>
        </w:rPr>
        <w:t>On</w:t>
      </w:r>
      <w:r>
        <w:rPr>
          <w:color w:val="767070"/>
          <w:spacing w:val="-11"/>
        </w:rPr>
        <w:t> </w:t>
      </w:r>
      <w:r>
        <w:rPr>
          <w:color w:val="767070"/>
        </w:rPr>
        <w:t>the</w:t>
      </w:r>
      <w:r>
        <w:rPr>
          <w:color w:val="767070"/>
          <w:spacing w:val="-11"/>
        </w:rPr>
        <w:t> </w:t>
      </w:r>
      <w:r>
        <w:rPr>
          <w:color w:val="767070"/>
        </w:rPr>
        <w:t>basis</w:t>
      </w:r>
      <w:r>
        <w:rPr>
          <w:color w:val="767070"/>
          <w:spacing w:val="-12"/>
        </w:rPr>
        <w:t> </w:t>
      </w:r>
      <w:r>
        <w:rPr>
          <w:color w:val="767070"/>
        </w:rPr>
        <w:t>of</w:t>
      </w:r>
      <w:r>
        <w:rPr>
          <w:color w:val="767070"/>
          <w:spacing w:val="-10"/>
        </w:rPr>
        <w:t> </w:t>
      </w:r>
      <w:r>
        <w:rPr>
          <w:color w:val="767070"/>
        </w:rPr>
        <w:t>its</w:t>
      </w:r>
      <w:r>
        <w:rPr>
          <w:color w:val="767070"/>
          <w:spacing w:val="-11"/>
        </w:rPr>
        <w:t> </w:t>
      </w:r>
      <w:r>
        <w:rPr>
          <w:color w:val="767070"/>
        </w:rPr>
        <w:t>findings</w:t>
      </w:r>
      <w:r>
        <w:rPr>
          <w:color w:val="767070"/>
          <w:spacing w:val="-9"/>
        </w:rPr>
        <w:t> </w:t>
      </w:r>
      <w:r>
        <w:rPr>
          <w:color w:val="767070"/>
        </w:rPr>
        <w:t>PRP</w:t>
      </w:r>
      <w:r>
        <w:rPr>
          <w:color w:val="767070"/>
          <w:spacing w:val="-11"/>
        </w:rPr>
        <w:t> </w:t>
      </w:r>
      <w:r>
        <w:rPr>
          <w:color w:val="767070"/>
        </w:rPr>
        <w:t>has</w:t>
      </w:r>
      <w:r>
        <w:rPr>
          <w:color w:val="767070"/>
          <w:spacing w:val="-9"/>
        </w:rPr>
        <w:t> </w:t>
      </w:r>
      <w:r>
        <w:rPr>
          <w:color w:val="767070"/>
        </w:rPr>
        <w:t>proposed</w:t>
      </w:r>
      <w:r>
        <w:rPr>
          <w:color w:val="767070"/>
          <w:spacing w:val="-11"/>
        </w:rPr>
        <w:t> </w:t>
      </w:r>
      <w:r>
        <w:rPr>
          <w:color w:val="767070"/>
        </w:rPr>
        <w:t>six</w:t>
      </w:r>
      <w:r>
        <w:rPr>
          <w:color w:val="767070"/>
          <w:spacing w:val="-9"/>
        </w:rPr>
        <w:t> </w:t>
      </w:r>
      <w:r>
        <w:rPr>
          <w:color w:val="767070"/>
        </w:rPr>
        <w:t>municipalities</w:t>
      </w:r>
      <w:r>
        <w:rPr>
          <w:color w:val="767070"/>
          <w:spacing w:val="-9"/>
        </w:rPr>
        <w:t> </w:t>
      </w:r>
      <w:r>
        <w:rPr>
          <w:color w:val="767070"/>
        </w:rPr>
        <w:t>--</w:t>
      </w:r>
      <w:r>
        <w:rPr>
          <w:color w:val="767070"/>
          <w:spacing w:val="-11"/>
        </w:rPr>
        <w:t> </w:t>
      </w:r>
      <w:r>
        <w:rPr>
          <w:color w:val="767070"/>
        </w:rPr>
        <w:t>Gjakovë,</w:t>
      </w:r>
      <w:r>
        <w:rPr>
          <w:color w:val="767070"/>
          <w:spacing w:val="-11"/>
        </w:rPr>
        <w:t> </w:t>
      </w:r>
      <w:r>
        <w:rPr>
          <w:color w:val="767070"/>
        </w:rPr>
        <w:t>Peje,</w:t>
      </w:r>
      <w:r>
        <w:rPr>
          <w:color w:val="767070"/>
          <w:spacing w:val="-9"/>
        </w:rPr>
        <w:t> </w:t>
      </w:r>
      <w:r>
        <w:rPr>
          <w:color w:val="767070"/>
        </w:rPr>
        <w:t>Gracanicë,</w:t>
      </w:r>
      <w:r>
        <w:rPr>
          <w:color w:val="767070"/>
          <w:spacing w:val="-9"/>
        </w:rPr>
        <w:t> </w:t>
      </w:r>
      <w:r>
        <w:rPr>
          <w:color w:val="767070"/>
        </w:rPr>
        <w:t>Shtime, Malisheve and Istog – and USAID has given its</w:t>
      </w:r>
      <w:r>
        <w:rPr>
          <w:color w:val="767070"/>
          <w:spacing w:val="-6"/>
        </w:rPr>
        <w:t> </w:t>
      </w:r>
      <w:r>
        <w:rPr>
          <w:color w:val="767070"/>
        </w:rPr>
        <w:t>approval.</w:t>
      </w:r>
    </w:p>
    <w:p>
      <w:pPr>
        <w:pStyle w:val="BodyText"/>
        <w:spacing w:before="183"/>
        <w:ind w:left="740"/>
      </w:pPr>
      <w:r>
        <w:rPr>
          <w:color w:val="C00000"/>
        </w:rPr>
        <w:t>IMPROVING THE LEGAL FRAMEWORK FOR LAND CONSOLIDATION</w:t>
      </w:r>
    </w:p>
    <w:p>
      <w:pPr>
        <w:pStyle w:val="BodyText"/>
        <w:spacing w:before="10"/>
        <w:rPr>
          <w:sz w:val="20"/>
        </w:rPr>
      </w:pPr>
    </w:p>
    <w:p>
      <w:pPr>
        <w:pStyle w:val="BodyText"/>
        <w:spacing w:line="259" w:lineRule="auto"/>
        <w:ind w:left="740" w:right="1441"/>
      </w:pPr>
      <w:r>
        <w:rPr>
          <w:color w:val="6C6362"/>
        </w:rPr>
        <w:t>PRP has developed close contacts with the Ministry of Agriculture (MoA), which is responsible for land consolidation; and with the Deutsche Gesellschaft für Internationale Zusammenarbeit (GIZ) project that is assisting the MoA in this area. PRP has agreed to assist in amending the current Law on Land Consolidation. During this Quarter, PRP developed its own analysis and recommendations of the key issues that should be addressed and presented it to the MoA and GIZ. It is expected that the MoA will present these issues for discussion when it forms a working group to develop amendments to the Law.</w:t>
      </w:r>
    </w:p>
    <w:p>
      <w:pPr>
        <w:spacing w:after="0" w:line="259" w:lineRule="auto"/>
        <w:sectPr>
          <w:pgSz w:w="11910" w:h="16840"/>
          <w:pgMar w:header="0" w:footer="720" w:top="1320" w:bottom="900" w:left="700" w:right="100"/>
        </w:sectPr>
      </w:pPr>
    </w:p>
    <w:p>
      <w:pPr>
        <w:pStyle w:val="Heading3"/>
        <w:ind w:left="740"/>
      </w:pPr>
      <w:bookmarkStart w:name="_bookmark8" w:id="9"/>
      <w:bookmarkEnd w:id="9"/>
      <w:r>
        <w:rPr>
          <w:b w:val="0"/>
        </w:rPr>
      </w:r>
      <w:r>
        <w:rPr>
          <w:color w:val="C21139"/>
        </w:rPr>
        <w:t>PROJECT ACTIVITIES</w:t>
      </w:r>
    </w:p>
    <w:p>
      <w:pPr>
        <w:pStyle w:val="BodyText"/>
        <w:spacing w:before="7"/>
        <w:rPr>
          <w:b/>
          <w:sz w:val="31"/>
        </w:rPr>
      </w:pPr>
    </w:p>
    <w:p>
      <w:pPr>
        <w:pStyle w:val="Heading5"/>
      </w:pPr>
      <w:bookmarkStart w:name="_bookmark9" w:id="10"/>
      <w:bookmarkEnd w:id="10"/>
      <w:r>
        <w:rPr>
          <w:b w:val="0"/>
        </w:rPr>
      </w:r>
      <w:r>
        <w:rPr/>
        <w:t>OBJECTIVE 1: BETTER COORDINATION AND POLICY PRIORITIES</w:t>
      </w:r>
    </w:p>
    <w:p>
      <w:pPr>
        <w:spacing w:before="118"/>
        <w:ind w:left="740" w:right="1734" w:firstLine="0"/>
        <w:jc w:val="left"/>
        <w:rPr>
          <w:sz w:val="24"/>
        </w:rPr>
      </w:pPr>
      <w:r>
        <w:rPr>
          <w:color w:val="C00000"/>
          <w:sz w:val="24"/>
        </w:rPr>
        <w:t>SUB-OBJECTIVE 1.1: NSPR REFORMS COORDINATED WITH AND BETWEEN GOK INSTITUTIONS</w:t>
      </w:r>
    </w:p>
    <w:p>
      <w:pPr>
        <w:pStyle w:val="BodyText"/>
        <w:spacing w:before="4"/>
        <w:rPr>
          <w:sz w:val="23"/>
        </w:rPr>
      </w:pPr>
    </w:p>
    <w:p>
      <w:pPr>
        <w:pStyle w:val="BodyText"/>
        <w:spacing w:line="264" w:lineRule="auto"/>
        <w:ind w:left="740" w:right="1345"/>
      </w:pPr>
      <w:r>
        <w:rPr>
          <w:color w:val="6C6362"/>
        </w:rPr>
        <w:t>PRP continued to support the MoJ and GoK institutions in developing implementing legislation for the NSPR. PRP collaborated with the MoJ the Ministry of Environment and Spatial Planning (MESP), the Ministry of Local Government Administration (MLGA), the KPCVA, the SPO/OPM and other stakeholders advance development of legislation foreseen in the NSPR. The three-year NSPR Action Plan comprises a diverse portfolio of activities, legislation drafting, training and capacity development, and awareness raising. PRP has supported development of 89% of legislations described in the Action Plan, either as amendments to, or replacements of, existing laws. Out of the total 18 pieces of legislations to be developed, only 2 pieces of legislation have yet been addressed.-- amendments to the Law on Family and the Law on Free Legal Aid. (Note that the Law on Family will ultimately be incorporated into the Civil Code.) Two pieces of legislations have already been adopted by the Assembly, the Law on Treatment of Constructions without Permit and Law on Immovable Property Tax. Five pieces of legislation have been submitted to the Assembly for adoption, and 9 additional pieces of legislations are currently being drafted.</w:t>
      </w:r>
    </w:p>
    <w:p>
      <w:pPr>
        <w:pStyle w:val="BodyText"/>
        <w:spacing w:line="261" w:lineRule="auto" w:before="233"/>
        <w:ind w:left="740" w:right="2148"/>
      </w:pPr>
      <w:r>
        <w:rPr>
          <w:color w:val="6C6362"/>
        </w:rPr>
        <w:t>To date, one and a half years into the implementation process, the Government has begun implementing 66% of all measures described in the Action Plan, with 14% fully implemented.</w:t>
      </w:r>
    </w:p>
    <w:p>
      <w:pPr>
        <w:pStyle w:val="BodyText"/>
        <w:rPr>
          <w:sz w:val="20"/>
        </w:rPr>
      </w:pPr>
    </w:p>
    <w:p>
      <w:pPr>
        <w:pStyle w:val="BodyText"/>
        <w:spacing w:before="10"/>
        <w:rPr>
          <w:sz w:val="19"/>
        </w:rPr>
      </w:pPr>
      <w:r>
        <w:rPr/>
        <w:pict>
          <v:group style="position:absolute;margin-left:148.125pt;margin-top:13.538945pt;width:301.5pt;height:204pt;mso-position-horizontal-relative:page;mso-position-vertical-relative:paragraph;z-index:-856;mso-wrap-distance-left:0;mso-wrap-distance-right:0" coordorigin="2963,271" coordsize="6030,4080">
            <v:shape style="position:absolute;left:5906;top:1458;width:1124;height:1366" type="#_x0000_t75" stroked="false">
              <v:imagedata r:id="rId12" o:title=""/>
            </v:shape>
            <v:shape style="position:absolute;left:4977;top:2103;width:2352;height:2079" type="#_x0000_t75" stroked="false">
              <v:imagedata r:id="rId13" o:title=""/>
            </v:shape>
            <v:shape style="position:absolute;left:4634;top:1482;width:1368;height:1983" type="#_x0000_t75" stroked="false">
              <v:imagedata r:id="rId14" o:title=""/>
            </v:shape>
            <v:shape style="position:absolute;left:6017;top:1571;width:900;height:1138" coordorigin="6018,1572" coordsize="900,1138" path="m6018,1572l6018,2710,6917,2013,6866,1951,6810,1893,6751,1839,6688,1790,6622,1746,6554,1706,6483,1671,6410,1641,6334,1617,6257,1597,6178,1583,6098,1575,6018,1572xe" filled="true" fillcolor="#6fac46" stroked="false">
              <v:path arrowok="t"/>
              <v:fill type="solid"/>
            </v:shape>
            <v:shape style="position:absolute;left:5102;top:2225;width:2104;height:1835" coordorigin="5103,2226" coordsize="2104,1835" path="m6968,2226l6069,2922,5103,3524,5118,3548,5169,3619,5216,3676,5267,3730,5320,3780,5376,3826,5435,3868,5495,3905,5557,3939,5621,3969,5687,3994,5754,4016,5821,4033,5890,4046,5959,4055,6029,4059,6099,4060,6169,4056,6239,4047,6308,4035,6377,4018,6445,3996,6512,3970,6578,3940,6642,3905,6704,3866,6765,3822,6823,3774,6876,3724,6926,3670,6972,3614,7014,3556,7052,3496,7085,3433,7115,3369,7141,3304,7162,3237,7179,3169,7192,3101,7201,3031,7206,2961,7206,2891,7202,2822,7194,2752,7181,2682,7164,2614,7143,2546,7117,2479,7086,2413,7052,2349,7012,2286,6968,2226xe" filled="true" fillcolor="#ffc000" stroked="false">
              <v:path arrowok="t"/>
              <v:fill type="solid"/>
            </v:shape>
            <v:shape style="position:absolute;left:4749;top:1603;width:1139;height:1740" coordorigin="4750,1604" coordsize="1139,1740" path="m5888,1604l5808,1607,5730,1615,5652,1629,5575,1648,5500,1672,5426,1702,5355,1736,5286,1776,5224,1818,5165,1863,5110,1911,5059,1962,5012,2016,4968,2072,4928,2130,4892,2191,4860,2254,4832,2318,4808,2384,4788,2451,4772,2519,4760,2588,4753,2657,4750,2727,4751,2798,4757,2868,4767,2938,4781,3008,4800,3077,4824,3145,4852,3213,4885,3279,4922,3344,5888,2742,5888,1604xe" filled="true" fillcolor="#ff0000" stroked="false">
              <v:path arrowok="t"/>
              <v:fill type="solid"/>
            </v:shape>
            <v:shape style="position:absolute;left:6518;top:1612;width:594;height:76" coordorigin="6519,1612" coordsize="594,76" path="m6519,1688l7022,1612,7112,1612e" filled="false" stroked="true" strokeweight=".75pt" strokecolor="#a6a6a6">
              <v:path arrowok="t"/>
              <v:stroke dashstyle="solid"/>
            </v:shape>
            <v:line style="position:absolute" from="6711,3855" to="7527,3855" stroked="true" strokeweight=".85pt" strokecolor="#a6a6a6">
              <v:stroke dashstyle="solid"/>
            </v:line>
            <v:shape style="position:absolute;left:4433;top:2066;width:460;height:123" coordorigin="4434,2067" coordsize="460,123" path="m4893,2189l4524,2067,4434,2067e" filled="false" stroked="true" strokeweight=".75pt" strokecolor="#a6a6a6">
              <v:path arrowok="t"/>
              <v:stroke dashstyle="solid"/>
            </v:shape>
            <v:rect style="position:absolute;left:2970;top:278;width:6015;height:4065" filled="false" stroked="true" strokeweight=".75pt" strokecolor="#d9d9d9">
              <v:stroke dashstyle="solid"/>
            </v:rect>
            <v:shape style="position:absolute;left:7565;top:3095;width:1142;height:932" type="#_x0000_t202" filled="false" stroked="false">
              <v:textbox inset="0,0,0,0">
                <w:txbxContent>
                  <w:p>
                    <w:pPr>
                      <w:spacing w:line="203" w:lineRule="exact" w:before="0"/>
                      <w:ind w:left="173" w:right="0" w:firstLine="0"/>
                      <w:jc w:val="left"/>
                      <w:rPr>
                        <w:rFonts w:ascii="Calibri"/>
                        <w:b/>
                        <w:sz w:val="20"/>
                      </w:rPr>
                    </w:pPr>
                    <w:r>
                      <w:rPr>
                        <w:rFonts w:ascii="Calibri"/>
                        <w:b/>
                        <w:color w:val="BE9000"/>
                        <w:sz w:val="20"/>
                      </w:rPr>
                      <w:t>Currently</w:t>
                    </w:r>
                  </w:p>
                  <w:p>
                    <w:pPr>
                      <w:spacing w:before="0"/>
                      <w:ind w:left="0" w:right="18" w:firstLine="5"/>
                      <w:jc w:val="center"/>
                      <w:rPr>
                        <w:rFonts w:ascii="Calibri"/>
                        <w:b/>
                        <w:sz w:val="20"/>
                      </w:rPr>
                    </w:pPr>
                    <w:r>
                      <w:rPr>
                        <w:rFonts w:ascii="Calibri"/>
                        <w:b/>
                        <w:color w:val="BE9000"/>
                        <w:sz w:val="20"/>
                      </w:rPr>
                      <w:t>being </w:t>
                    </w:r>
                    <w:r>
                      <w:rPr>
                        <w:rFonts w:ascii="Calibri"/>
                        <w:b/>
                        <w:color w:val="BE9000"/>
                        <w:w w:val="95"/>
                        <w:sz w:val="20"/>
                      </w:rPr>
                      <w:t>Implemented </w:t>
                    </w:r>
                    <w:r>
                      <w:rPr>
                        <w:rFonts w:ascii="Calibri"/>
                        <w:b/>
                        <w:color w:val="BE9000"/>
                        <w:sz w:val="20"/>
                      </w:rPr>
                      <w:t>52%</w:t>
                    </w:r>
                  </w:p>
                </w:txbxContent>
              </v:textbox>
              <w10:wrap type="none"/>
            </v:shape>
            <v:shape style="position:absolute;left:3066;top:1761;width:1364;height:690" type="#_x0000_t202" filled="false" stroked="false">
              <v:textbox inset="0,0,0,0">
                <w:txbxContent>
                  <w:p>
                    <w:pPr>
                      <w:spacing w:line="203" w:lineRule="exact" w:before="0"/>
                      <w:ind w:left="0" w:right="0" w:firstLine="0"/>
                      <w:jc w:val="left"/>
                      <w:rPr>
                        <w:rFonts w:ascii="Calibri"/>
                        <w:b/>
                        <w:sz w:val="20"/>
                      </w:rPr>
                    </w:pPr>
                    <w:r>
                      <w:rPr>
                        <w:rFonts w:ascii="Calibri"/>
                        <w:b/>
                        <w:color w:val="FF0000"/>
                        <w:sz w:val="20"/>
                      </w:rPr>
                      <w:t>Implementation</w:t>
                    </w:r>
                  </w:p>
                  <w:p>
                    <w:pPr>
                      <w:spacing w:before="0"/>
                      <w:ind w:left="149" w:right="169" w:firstLine="0"/>
                      <w:jc w:val="center"/>
                      <w:rPr>
                        <w:rFonts w:ascii="Calibri"/>
                        <w:b/>
                        <w:sz w:val="20"/>
                      </w:rPr>
                    </w:pPr>
                    <w:r>
                      <w:rPr>
                        <w:rFonts w:ascii="Calibri"/>
                        <w:b/>
                        <w:color w:val="FF0000"/>
                        <w:sz w:val="20"/>
                      </w:rPr>
                      <w:t>Yet to Begin 34%</w:t>
                    </w:r>
                  </w:p>
                </w:txbxContent>
              </v:textbox>
              <w10:wrap type="none"/>
            </v:shape>
            <v:shape style="position:absolute;left:7218;top:1084;width:1141;height:689" type="#_x0000_t202" filled="false" stroked="false">
              <v:textbox inset="0,0,0,0">
                <w:txbxContent>
                  <w:p>
                    <w:pPr>
                      <w:spacing w:line="203" w:lineRule="exact" w:before="0"/>
                      <w:ind w:left="367" w:right="0" w:firstLine="0"/>
                      <w:jc w:val="left"/>
                      <w:rPr>
                        <w:rFonts w:ascii="Calibri"/>
                        <w:b/>
                        <w:sz w:val="20"/>
                      </w:rPr>
                    </w:pPr>
                    <w:r>
                      <w:rPr>
                        <w:rFonts w:ascii="Calibri"/>
                        <w:b/>
                        <w:color w:val="6FAC46"/>
                        <w:sz w:val="20"/>
                      </w:rPr>
                      <w:t>Fully</w:t>
                    </w:r>
                  </w:p>
                  <w:p>
                    <w:pPr>
                      <w:spacing w:before="0"/>
                      <w:ind w:left="8" w:right="26" w:firstLine="0"/>
                      <w:jc w:val="center"/>
                      <w:rPr>
                        <w:rFonts w:ascii="Calibri"/>
                        <w:b/>
                        <w:sz w:val="20"/>
                      </w:rPr>
                    </w:pPr>
                    <w:r>
                      <w:rPr>
                        <w:rFonts w:ascii="Calibri"/>
                        <w:b/>
                        <w:color w:val="6FAC46"/>
                        <w:w w:val="95"/>
                        <w:sz w:val="20"/>
                      </w:rPr>
                      <w:t>Implemented </w:t>
                    </w:r>
                    <w:r>
                      <w:rPr>
                        <w:rFonts w:ascii="Calibri"/>
                        <w:b/>
                        <w:color w:val="6FAC46"/>
                        <w:sz w:val="20"/>
                      </w:rPr>
                      <w:t>14%</w:t>
                    </w:r>
                  </w:p>
                </w:txbxContent>
              </v:textbox>
              <w10:wrap type="none"/>
            </v:shape>
            <v:shape style="position:absolute;left:5430;top:886;width:1118;height:320" type="#_x0000_t202" filled="false" stroked="false">
              <v:textbox inset="0,0,0,0">
                <w:txbxContent>
                  <w:p>
                    <w:pPr>
                      <w:spacing w:line="319" w:lineRule="exact" w:before="0"/>
                      <w:ind w:left="0" w:right="0" w:firstLine="0"/>
                      <w:jc w:val="left"/>
                      <w:rPr>
                        <w:rFonts w:ascii="Calibri"/>
                        <w:b/>
                        <w:sz w:val="32"/>
                      </w:rPr>
                    </w:pPr>
                    <w:r>
                      <w:rPr>
                        <w:rFonts w:ascii="Calibri"/>
                        <w:b/>
                        <w:color w:val="585858"/>
                        <w:sz w:val="32"/>
                      </w:rPr>
                      <w:t>Q3 2018</w:t>
                    </w:r>
                  </w:p>
                </w:txbxContent>
              </v:textbox>
              <w10:wrap type="none"/>
            </v:shape>
            <v:shape style="position:absolute;left:3725;top:494;width:4521;height:320" type="#_x0000_t202" filled="false" stroked="false">
              <v:textbox inset="0,0,0,0">
                <w:txbxContent>
                  <w:p>
                    <w:pPr>
                      <w:spacing w:line="319" w:lineRule="exact" w:before="0"/>
                      <w:ind w:left="0" w:right="0" w:firstLine="0"/>
                      <w:jc w:val="left"/>
                      <w:rPr>
                        <w:rFonts w:ascii="Calibri"/>
                        <w:b/>
                        <w:sz w:val="32"/>
                      </w:rPr>
                    </w:pPr>
                    <w:r>
                      <w:rPr>
                        <w:rFonts w:ascii="Calibri"/>
                        <w:b/>
                        <w:color w:val="585858"/>
                        <w:sz w:val="32"/>
                      </w:rPr>
                      <w:t>OVERALL NSPR </w:t>
                    </w:r>
                    <w:r>
                      <w:rPr>
                        <w:rFonts w:ascii="Calibri"/>
                        <w:b/>
                        <w:color w:val="585858"/>
                        <w:spacing w:val="-4"/>
                        <w:sz w:val="32"/>
                      </w:rPr>
                      <w:t>IMPLEMENTATION</w:t>
                    </w:r>
                  </w:p>
                </w:txbxContent>
              </v:textbox>
              <w10:wrap type="none"/>
            </v:shape>
            <w10:wrap type="topAndBottom"/>
          </v:group>
        </w:pict>
      </w:r>
    </w:p>
    <w:p>
      <w:pPr>
        <w:pStyle w:val="BodyText"/>
        <w:rPr>
          <w:sz w:val="26"/>
        </w:rPr>
      </w:pPr>
    </w:p>
    <w:p>
      <w:pPr>
        <w:pStyle w:val="BodyText"/>
        <w:spacing w:line="264" w:lineRule="auto" w:before="200"/>
        <w:ind w:left="740" w:right="1355"/>
      </w:pPr>
      <w:r>
        <w:rPr>
          <w:color w:val="6C6362"/>
        </w:rPr>
        <w:t>Of particular significance is progress made to develop amendments to the KPCVA law and publication of property rights proceedings in the Official Gazette which will help the GoK to address large scale informality.</w:t>
      </w:r>
    </w:p>
    <w:p>
      <w:pPr>
        <w:spacing w:after="0" w:line="264" w:lineRule="auto"/>
        <w:sectPr>
          <w:pgSz w:w="11910" w:h="16840"/>
          <w:pgMar w:header="0" w:footer="720" w:top="1320" w:bottom="900" w:left="700" w:right="100"/>
        </w:sectPr>
      </w:pPr>
    </w:p>
    <w:p>
      <w:pPr>
        <w:pStyle w:val="BodyText"/>
        <w:ind w:left="1975"/>
        <w:rPr>
          <w:sz w:val="20"/>
        </w:rPr>
      </w:pPr>
      <w:r>
        <w:rPr>
          <w:sz w:val="20"/>
        </w:rPr>
        <w:pict>
          <v:group style="width:327.25pt;height:211.8pt;mso-position-horizontal-relative:char;mso-position-vertical-relative:line" coordorigin="0,0" coordsize="6545,4236">
            <v:line style="position:absolute" from="5969,2479" to="6317,2479" stroked="true" strokeweight=".75pt" strokecolor="#d9d9d9">
              <v:stroke dashstyle="solid"/>
            </v:line>
            <v:line style="position:absolute" from="4802,2479" to="5501,2479" stroked="true" strokeweight=".75pt" strokecolor="#d9d9d9">
              <v:stroke dashstyle="solid"/>
            </v:line>
            <v:rect style="position:absolute;left:5500;top:2424;width:468;height:334" filled="true" fillcolor="#00af50" stroked="false">
              <v:fill type="solid"/>
            </v:rect>
            <v:line style="position:absolute" from="3636,2479" to="4334,2479" stroked="true" strokeweight=".75pt" strokecolor="#d9d9d9">
              <v:stroke dashstyle="solid"/>
            </v:line>
            <v:line style="position:absolute" from="2469,2479" to="3168,2479" stroked="true" strokeweight=".75pt" strokecolor="#d9d9d9">
              <v:stroke dashstyle="solid"/>
            </v:line>
            <v:line style="position:absolute" from="1303,2479" to="2004,2479" stroked="true" strokeweight=".75pt" strokecolor="#d9d9d9">
              <v:stroke dashstyle="solid"/>
            </v:line>
            <v:line style="position:absolute" from="487,2479" to="837,2479" stroked="true" strokeweight=".75pt" strokecolor="#d9d9d9">
              <v:stroke dashstyle="solid"/>
            </v:line>
            <v:rect style="position:absolute;left:837;top:2369;width:466;height:390" filled="true" fillcolor="#ffc000" stroked="false">
              <v:fill type="solid"/>
            </v:rect>
            <v:rect style="position:absolute;left:2003;top:2424;width:466;height:334" filled="true" fillcolor="#ffc000" stroked="false">
              <v:fill type="solid"/>
            </v:rect>
            <v:rect style="position:absolute;left:3167;top:2592;width:468;height:166" filled="true" fillcolor="#00af50" stroked="false">
              <v:fill type="solid"/>
            </v:rect>
            <v:rect style="position:absolute;left:3167;top:2313;width:468;height:279" filled="true" fillcolor="#ffc000" stroked="false">
              <v:fill type="solid"/>
            </v:rect>
            <v:rect style="position:absolute;left:4334;top:2537;width:468;height:222" filled="true" fillcolor="#ffc000" stroked="false">
              <v:fill type="solid"/>
            </v:rect>
            <v:line style="position:absolute" from="5969,2204" to="6317,2204" stroked="true" strokeweight=".75pt" strokecolor="#d9d9d9">
              <v:stroke dashstyle="solid"/>
            </v:line>
            <v:line style="position:absolute" from="487,2204" to="5501,2204" stroked="true" strokeweight=".75pt" strokecolor="#d9d9d9">
              <v:stroke dashstyle="solid"/>
            </v:line>
            <v:line style="position:absolute" from="5969,1925" to="6317,1925" stroked="true" strokeweight=".75pt" strokecolor="#d9d9d9">
              <v:stroke dashstyle="solid"/>
            </v:line>
            <v:line style="position:absolute" from="487,1925" to="5501,1925" stroked="true" strokeweight=".75pt" strokecolor="#d9d9d9">
              <v:stroke dashstyle="solid"/>
            </v:line>
            <v:rect style="position:absolute;left:5500;top:1869;width:468;height:555" filled="true" fillcolor="#ffc000" stroked="false">
              <v:fill type="solid"/>
            </v:rect>
            <v:rect style="position:absolute;left:837;top:2203;width:466;height:166" filled="true" fillcolor="#ff0000" stroked="false">
              <v:fill type="solid"/>
            </v:rect>
            <v:rect style="position:absolute;left:2003;top:2313;width:466;height:111" filled="true" fillcolor="#ff0000" stroked="false">
              <v:fill type="solid"/>
            </v:rect>
            <v:rect style="position:absolute;left:3167;top:2203;width:468;height:111" filled="true" fillcolor="#ff0000" stroked="false">
              <v:fill type="solid"/>
            </v:rect>
            <v:rect style="position:absolute;left:4334;top:2424;width:468;height:113" filled="true" fillcolor="#ff0000" stroked="false">
              <v:fill type="solid"/>
            </v:rect>
            <v:line style="position:absolute" from="5969,1647" to="6317,1647" stroked="true" strokeweight=".75pt" strokecolor="#d9d9d9">
              <v:stroke dashstyle="solid"/>
            </v:line>
            <v:line style="position:absolute" from="487,1647" to="5501,1647" stroked="true" strokeweight=".75pt" strokecolor="#d9d9d9">
              <v:stroke dashstyle="solid"/>
            </v:line>
            <v:line style="position:absolute" from="5969,1368" to="6317,1368" stroked="true" strokeweight=".75pt" strokecolor="#d9d9d9">
              <v:stroke dashstyle="solid"/>
            </v:line>
            <v:line style="position:absolute" from="487,1368" to="5501,1368" stroked="true" strokeweight=".75pt" strokecolor="#d9d9d9">
              <v:stroke dashstyle="solid"/>
            </v:line>
            <v:rect style="position:absolute;left:5500;top:1202;width:468;height:668" filled="true" fillcolor="#ff0000" stroked="false">
              <v:fill type="solid"/>
            </v:rect>
            <v:line style="position:absolute" from="487,2758" to="6317,2758" stroked="true" strokeweight=".75pt" strokecolor="#d9d9d9">
              <v:stroke dashstyle="solid"/>
            </v:line>
            <v:line style="position:absolute" from="487,1091" to="6317,1091" stroked="true" strokeweight=".75pt" strokecolor="#d9d9d9">
              <v:stroke dashstyle="solid"/>
            </v:line>
            <v:rect style="position:absolute;left:407;top:3890;width:99;height:99" filled="true" fillcolor="#00af50" stroked="false">
              <v:fill type="solid"/>
            </v:rect>
            <v:rect style="position:absolute;left:1601;top:3890;width:99;height:99" filled="true" fillcolor="#ffc000" stroked="false">
              <v:fill type="solid"/>
            </v:rect>
            <v:rect style="position:absolute;left:3965;top:3890;width:99;height:99" filled="true" fillcolor="#ff0000" stroked="false">
              <v:fill type="solid"/>
            </v:rect>
            <v:rect style="position:absolute;left:7;top:7;width:6530;height:4221" filled="false" stroked="true" strokeweight=".75pt" strokecolor="#d9d9d9">
              <v:stroke dashstyle="solid"/>
            </v:rect>
            <v:shape style="position:absolute;left:549;top:3856;width:5682;height:180" type="#_x0000_t202" filled="false" stroked="false">
              <v:textbox inset="0,0,0,0">
                <w:txbxContent>
                  <w:p>
                    <w:pPr>
                      <w:tabs>
                        <w:tab w:pos="1194" w:val="left" w:leader="none"/>
                        <w:tab w:pos="3558" w:val="left" w:leader="none"/>
                      </w:tabs>
                      <w:spacing w:line="180" w:lineRule="exact" w:before="0"/>
                      <w:ind w:left="0" w:right="0" w:firstLine="0"/>
                      <w:jc w:val="left"/>
                      <w:rPr>
                        <w:rFonts w:ascii="Calibri"/>
                        <w:sz w:val="18"/>
                      </w:rPr>
                    </w:pPr>
                    <w:r>
                      <w:rPr>
                        <w:rFonts w:ascii="Calibri"/>
                        <w:color w:val="585858"/>
                        <w:sz w:val="18"/>
                      </w:rPr>
                      <w:t>Implemented</w:t>
                      <w:tab/>
                      <w:t>Currently</w:t>
                    </w:r>
                    <w:r>
                      <w:rPr>
                        <w:rFonts w:ascii="Calibri"/>
                        <w:color w:val="585858"/>
                        <w:spacing w:val="-2"/>
                        <w:sz w:val="18"/>
                      </w:rPr>
                      <w:t> </w:t>
                    </w:r>
                    <w:r>
                      <w:rPr>
                        <w:rFonts w:ascii="Calibri"/>
                        <w:color w:val="585858"/>
                        <w:sz w:val="18"/>
                      </w:rPr>
                      <w:t>being</w:t>
                    </w:r>
                    <w:r>
                      <w:rPr>
                        <w:rFonts w:ascii="Calibri"/>
                        <w:color w:val="585858"/>
                        <w:spacing w:val="-3"/>
                        <w:sz w:val="18"/>
                      </w:rPr>
                      <w:t> </w:t>
                    </w:r>
                    <w:r>
                      <w:rPr>
                        <w:rFonts w:ascii="Calibri"/>
                        <w:color w:val="585858"/>
                        <w:sz w:val="18"/>
                      </w:rPr>
                      <w:t>Implemented</w:t>
                      <w:tab/>
                      <w:t>Implementation Yet to</w:t>
                    </w:r>
                    <w:r>
                      <w:rPr>
                        <w:rFonts w:ascii="Calibri"/>
                        <w:color w:val="585858"/>
                        <w:spacing w:val="-7"/>
                        <w:sz w:val="18"/>
                      </w:rPr>
                      <w:t> </w:t>
                    </w:r>
                    <w:r>
                      <w:rPr>
                        <w:rFonts w:ascii="Calibri"/>
                        <w:color w:val="585858"/>
                        <w:sz w:val="18"/>
                      </w:rPr>
                      <w:t>Begin</w:t>
                    </w:r>
                  </w:p>
                </w:txbxContent>
              </v:textbox>
              <w10:wrap type="none"/>
            </v:shape>
            <v:shape style="position:absolute;left:5439;top:3086;width:614;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Land Use</w:t>
                    </w:r>
                  </w:p>
                </w:txbxContent>
              </v:textbox>
              <w10:wrap type="none"/>
            </v:shape>
            <v:shape style="position:absolute;left:4043;top:3086;width:1072;height:161" type="#_x0000_t202" filled="false" stroked="false">
              <v:textbox inset="0,0,0,0">
                <w:txbxContent>
                  <w:p>
                    <w:pPr>
                      <w:spacing w:line="161" w:lineRule="exact" w:before="0"/>
                      <w:ind w:left="0" w:right="0" w:firstLine="0"/>
                      <w:jc w:val="left"/>
                      <w:rPr>
                        <w:rFonts w:ascii="Calibri"/>
                        <w:sz w:val="16"/>
                      </w:rPr>
                    </w:pPr>
                    <w:r>
                      <w:rPr>
                        <w:rFonts w:ascii="Calibri"/>
                        <w:color w:val="585858"/>
                        <w:sz w:val="16"/>
                      </w:rPr>
                      <w:t>Women's Rights</w:t>
                    </w:r>
                  </w:p>
                </w:txbxContent>
              </v:textbox>
              <w10:wrap type="none"/>
            </v:shape>
            <v:shape style="position:absolute;left:4140;top:2891;width:2046;height:161" type="#_x0000_t202" filled="false" stroked="false">
              <v:textbox inset="0,0,0,0">
                <w:txbxContent>
                  <w:p>
                    <w:pPr>
                      <w:tabs>
                        <w:tab w:pos="1166" w:val="left" w:leader="none"/>
                      </w:tabs>
                      <w:spacing w:line="161" w:lineRule="exact" w:before="0"/>
                      <w:ind w:left="0" w:right="0" w:firstLine="0"/>
                      <w:jc w:val="left"/>
                      <w:rPr>
                        <w:rFonts w:ascii="Calibri"/>
                        <w:sz w:val="16"/>
                      </w:rPr>
                    </w:pPr>
                    <w:r>
                      <w:rPr>
                        <w:rFonts w:ascii="Calibri"/>
                        <w:color w:val="585858"/>
                        <w:sz w:val="16"/>
                      </w:rPr>
                      <w:t>Objective</w:t>
                    </w:r>
                    <w:r>
                      <w:rPr>
                        <w:rFonts w:ascii="Calibri"/>
                        <w:color w:val="585858"/>
                        <w:spacing w:val="-1"/>
                        <w:sz w:val="16"/>
                      </w:rPr>
                      <w:t> </w:t>
                    </w:r>
                    <w:r>
                      <w:rPr>
                        <w:rFonts w:ascii="Calibri"/>
                        <w:color w:val="585858"/>
                        <w:sz w:val="16"/>
                      </w:rPr>
                      <w:t>#4:</w:t>
                      <w:tab/>
                      <w:t>Objective</w:t>
                    </w:r>
                    <w:r>
                      <w:rPr>
                        <w:rFonts w:ascii="Calibri"/>
                        <w:color w:val="585858"/>
                        <w:spacing w:val="-2"/>
                        <w:sz w:val="16"/>
                      </w:rPr>
                      <w:t> </w:t>
                    </w:r>
                    <w:r>
                      <w:rPr>
                        <w:rFonts w:ascii="Calibri"/>
                        <w:color w:val="585858"/>
                        <w:sz w:val="16"/>
                      </w:rPr>
                      <w:t>#5:</w:t>
                    </w:r>
                  </w:p>
                </w:txbxContent>
              </v:textbox>
              <w10:wrap type="none"/>
            </v:shape>
            <v:shape style="position:absolute;left:2954;top:2891;width:918;height:747" type="#_x0000_t202" filled="false" stroked="false">
              <v:textbox inset="0,0,0,0">
                <w:txbxContent>
                  <w:p>
                    <w:pPr>
                      <w:spacing w:line="164" w:lineRule="exact" w:before="0"/>
                      <w:ind w:left="20" w:right="0" w:firstLine="0"/>
                      <w:jc w:val="left"/>
                      <w:rPr>
                        <w:rFonts w:ascii="Calibri"/>
                        <w:sz w:val="16"/>
                      </w:rPr>
                    </w:pPr>
                    <w:r>
                      <w:rPr>
                        <w:rFonts w:ascii="Calibri"/>
                        <w:color w:val="585858"/>
                        <w:sz w:val="16"/>
                      </w:rPr>
                      <w:t>Objective #3:</w:t>
                    </w:r>
                  </w:p>
                  <w:p>
                    <w:pPr>
                      <w:spacing w:before="0"/>
                      <w:ind w:left="0" w:right="18" w:firstLine="2"/>
                      <w:jc w:val="center"/>
                      <w:rPr>
                        <w:rFonts w:ascii="Calibri"/>
                        <w:sz w:val="16"/>
                      </w:rPr>
                    </w:pPr>
                    <w:r>
                      <w:rPr>
                        <w:rFonts w:ascii="Calibri"/>
                        <w:color w:val="585858"/>
                        <w:sz w:val="16"/>
                      </w:rPr>
                      <w:t>Non-Majority Communities' Rights</w:t>
                    </w:r>
                  </w:p>
                </w:txbxContent>
              </v:textbox>
              <w10:wrap type="none"/>
            </v:shape>
            <v:shape style="position:absolute;left:514;top:2891;width:2173;height:356" type="#_x0000_t202" filled="false" stroked="false">
              <v:textbox inset="0,0,0,0">
                <w:txbxContent>
                  <w:p>
                    <w:pPr>
                      <w:tabs>
                        <w:tab w:pos="1273" w:val="left" w:leader="none"/>
                      </w:tabs>
                      <w:spacing w:line="164" w:lineRule="exact" w:before="0"/>
                      <w:ind w:left="107" w:right="0" w:firstLine="0"/>
                      <w:jc w:val="center"/>
                      <w:rPr>
                        <w:rFonts w:ascii="Calibri"/>
                        <w:sz w:val="16"/>
                      </w:rPr>
                    </w:pPr>
                    <w:r>
                      <w:rPr>
                        <w:rFonts w:ascii="Calibri"/>
                        <w:color w:val="585858"/>
                        <w:sz w:val="16"/>
                      </w:rPr>
                      <w:t>Objective</w:t>
                    </w:r>
                    <w:r>
                      <w:rPr>
                        <w:rFonts w:ascii="Calibri"/>
                        <w:color w:val="585858"/>
                        <w:spacing w:val="-1"/>
                        <w:sz w:val="16"/>
                      </w:rPr>
                      <w:t> </w:t>
                    </w:r>
                    <w:r>
                      <w:rPr>
                        <w:rFonts w:ascii="Calibri"/>
                        <w:color w:val="585858"/>
                        <w:sz w:val="16"/>
                      </w:rPr>
                      <w:t>#1:</w:t>
                      <w:tab/>
                      <w:t>Objective</w:t>
                    </w:r>
                    <w:r>
                      <w:rPr>
                        <w:rFonts w:ascii="Calibri"/>
                        <w:color w:val="585858"/>
                        <w:spacing w:val="-2"/>
                        <w:sz w:val="16"/>
                      </w:rPr>
                      <w:t> </w:t>
                    </w:r>
                    <w:r>
                      <w:rPr>
                        <w:rFonts w:ascii="Calibri"/>
                        <w:color w:val="585858"/>
                        <w:sz w:val="16"/>
                      </w:rPr>
                      <w:t>#2:</w:t>
                    </w:r>
                  </w:p>
                  <w:p>
                    <w:pPr>
                      <w:tabs>
                        <w:tab w:pos="1363" w:val="left" w:leader="none"/>
                      </w:tabs>
                      <w:spacing w:line="192" w:lineRule="exact" w:before="0"/>
                      <w:ind w:left="-1" w:right="88" w:firstLine="0"/>
                      <w:jc w:val="center"/>
                      <w:rPr>
                        <w:rFonts w:ascii="Calibri"/>
                        <w:sz w:val="16"/>
                      </w:rPr>
                    </w:pPr>
                    <w:r>
                      <w:rPr>
                        <w:rFonts w:ascii="Calibri"/>
                        <w:color w:val="585858"/>
                        <w:sz w:val="16"/>
                      </w:rPr>
                      <w:t>Legal</w:t>
                    </w:r>
                    <w:r>
                      <w:rPr>
                        <w:rFonts w:ascii="Calibri"/>
                        <w:color w:val="585858"/>
                        <w:spacing w:val="-3"/>
                        <w:sz w:val="16"/>
                      </w:rPr>
                      <w:t> </w:t>
                    </w:r>
                    <w:r>
                      <w:rPr>
                        <w:rFonts w:ascii="Calibri"/>
                        <w:color w:val="585858"/>
                        <w:sz w:val="16"/>
                      </w:rPr>
                      <w:t>Framework</w:t>
                      <w:tab/>
                    </w:r>
                    <w:r>
                      <w:rPr>
                        <w:rFonts w:ascii="Calibri"/>
                        <w:color w:val="585858"/>
                        <w:spacing w:val="-3"/>
                        <w:sz w:val="16"/>
                      </w:rPr>
                      <w:t>Informality</w:t>
                    </w:r>
                  </w:p>
                </w:txbxContent>
              </v:textbox>
              <w10:wrap type="none"/>
            </v:shape>
            <v:shape style="position:absolute;left:138;top:1007;width:203;height:1848"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30</w:t>
                    </w:r>
                  </w:p>
                  <w:p>
                    <w:pPr>
                      <w:spacing w:before="58"/>
                      <w:ind w:left="0" w:right="0" w:firstLine="0"/>
                      <w:jc w:val="left"/>
                      <w:rPr>
                        <w:rFonts w:ascii="Calibri"/>
                        <w:sz w:val="18"/>
                      </w:rPr>
                    </w:pPr>
                    <w:r>
                      <w:rPr>
                        <w:rFonts w:ascii="Calibri"/>
                        <w:color w:val="585858"/>
                        <w:sz w:val="18"/>
                      </w:rPr>
                      <w:t>25</w:t>
                    </w:r>
                  </w:p>
                  <w:p>
                    <w:pPr>
                      <w:spacing w:before="58"/>
                      <w:ind w:left="0" w:right="0" w:firstLine="0"/>
                      <w:jc w:val="left"/>
                      <w:rPr>
                        <w:rFonts w:ascii="Calibri"/>
                        <w:sz w:val="18"/>
                      </w:rPr>
                    </w:pPr>
                    <w:r>
                      <w:rPr>
                        <w:rFonts w:ascii="Calibri"/>
                        <w:color w:val="585858"/>
                        <w:sz w:val="18"/>
                      </w:rPr>
                      <w:t>20</w:t>
                    </w:r>
                  </w:p>
                  <w:p>
                    <w:pPr>
                      <w:spacing w:before="58"/>
                      <w:ind w:left="0" w:right="0" w:firstLine="0"/>
                      <w:jc w:val="left"/>
                      <w:rPr>
                        <w:rFonts w:ascii="Calibri"/>
                        <w:sz w:val="18"/>
                      </w:rPr>
                    </w:pPr>
                    <w:r>
                      <w:rPr>
                        <w:rFonts w:ascii="Calibri"/>
                        <w:color w:val="585858"/>
                        <w:sz w:val="18"/>
                      </w:rPr>
                      <w:t>15</w:t>
                    </w:r>
                  </w:p>
                  <w:p>
                    <w:pPr>
                      <w:spacing w:before="58"/>
                      <w:ind w:left="0" w:right="0" w:firstLine="0"/>
                      <w:jc w:val="left"/>
                      <w:rPr>
                        <w:rFonts w:ascii="Calibri"/>
                        <w:sz w:val="18"/>
                      </w:rPr>
                    </w:pPr>
                    <w:r>
                      <w:rPr>
                        <w:rFonts w:ascii="Calibri"/>
                        <w:color w:val="585858"/>
                        <w:sz w:val="18"/>
                      </w:rPr>
                      <w:t>10</w:t>
                    </w:r>
                  </w:p>
                  <w:p>
                    <w:pPr>
                      <w:spacing w:before="59"/>
                      <w:ind w:left="91" w:right="0" w:firstLine="0"/>
                      <w:jc w:val="left"/>
                      <w:rPr>
                        <w:rFonts w:ascii="Calibri"/>
                        <w:sz w:val="18"/>
                      </w:rPr>
                    </w:pPr>
                    <w:r>
                      <w:rPr>
                        <w:rFonts w:ascii="Calibri"/>
                        <w:color w:val="585858"/>
                        <w:sz w:val="18"/>
                      </w:rPr>
                      <w:t>5</w:t>
                    </w:r>
                  </w:p>
                  <w:p>
                    <w:pPr>
                      <w:spacing w:line="216" w:lineRule="exact" w:before="58"/>
                      <w:ind w:left="91" w:right="0" w:firstLine="0"/>
                      <w:jc w:val="left"/>
                      <w:rPr>
                        <w:rFonts w:ascii="Calibri"/>
                        <w:sz w:val="18"/>
                      </w:rPr>
                    </w:pPr>
                    <w:r>
                      <w:rPr>
                        <w:rFonts w:ascii="Calibri"/>
                        <w:color w:val="585858"/>
                        <w:sz w:val="18"/>
                      </w:rPr>
                      <w:t>0</w:t>
                    </w:r>
                  </w:p>
                </w:txbxContent>
              </v:textbox>
              <w10:wrap type="none"/>
            </v:shape>
            <v:shape style="position:absolute;left:834;top:213;width:4896;height:624" type="#_x0000_t202" filled="false" stroked="false">
              <v:textbox inset="0,0,0,0">
                <w:txbxContent>
                  <w:p>
                    <w:pPr>
                      <w:spacing w:line="286" w:lineRule="exact" w:before="0"/>
                      <w:ind w:left="0" w:right="18" w:firstLine="0"/>
                      <w:jc w:val="center"/>
                      <w:rPr>
                        <w:rFonts w:ascii="Calibri"/>
                        <w:b/>
                        <w:sz w:val="28"/>
                      </w:rPr>
                    </w:pPr>
                    <w:r>
                      <w:rPr>
                        <w:rFonts w:ascii="Calibri"/>
                        <w:b/>
                        <w:color w:val="585858"/>
                        <w:sz w:val="28"/>
                      </w:rPr>
                      <w:t>Implementation of Activities Pertaining</w:t>
                    </w:r>
                    <w:r>
                      <w:rPr>
                        <w:rFonts w:ascii="Calibri"/>
                        <w:b/>
                        <w:color w:val="585858"/>
                        <w:spacing w:val="-32"/>
                        <w:sz w:val="28"/>
                      </w:rPr>
                      <w:t> </w:t>
                    </w:r>
                    <w:r>
                      <w:rPr>
                        <w:rFonts w:ascii="Calibri"/>
                        <w:b/>
                        <w:color w:val="585858"/>
                        <w:sz w:val="28"/>
                      </w:rPr>
                      <w:t>to</w:t>
                    </w:r>
                  </w:p>
                  <w:p>
                    <w:pPr>
                      <w:spacing w:line="337" w:lineRule="exact" w:before="1"/>
                      <w:ind w:left="0" w:right="19" w:firstLine="0"/>
                      <w:jc w:val="center"/>
                      <w:rPr>
                        <w:rFonts w:ascii="Calibri"/>
                        <w:b/>
                        <w:sz w:val="28"/>
                      </w:rPr>
                    </w:pPr>
                    <w:r>
                      <w:rPr>
                        <w:rFonts w:ascii="Calibri"/>
                        <w:b/>
                        <w:color w:val="585858"/>
                        <w:sz w:val="28"/>
                      </w:rPr>
                      <w:t>Strategic Objectives</w:t>
                    </w:r>
                  </w:p>
                </w:txbxContent>
              </v:textbox>
              <w10:wrap type="none"/>
            </v:shape>
          </v:group>
        </w:pict>
      </w:r>
      <w:r>
        <w:rPr>
          <w:sz w:val="20"/>
        </w:rPr>
      </w:r>
    </w:p>
    <w:p>
      <w:pPr>
        <w:pStyle w:val="BodyText"/>
        <w:rPr>
          <w:sz w:val="20"/>
        </w:rPr>
      </w:pPr>
    </w:p>
    <w:p>
      <w:pPr>
        <w:pStyle w:val="BodyText"/>
        <w:rPr>
          <w:sz w:val="20"/>
        </w:rPr>
      </w:pPr>
    </w:p>
    <w:p>
      <w:pPr>
        <w:pStyle w:val="BodyText"/>
        <w:spacing w:before="10"/>
        <w:rPr>
          <w:sz w:val="23"/>
        </w:rPr>
      </w:pPr>
    </w:p>
    <w:p>
      <w:pPr>
        <w:pStyle w:val="BodyText"/>
        <w:spacing w:line="264" w:lineRule="auto"/>
        <w:ind w:left="740" w:right="1423"/>
      </w:pPr>
      <w:r>
        <w:rPr>
          <w:color w:val="6C6362"/>
        </w:rPr>
        <w:t>Moving forward, PRP will assist </w:t>
      </w:r>
      <w:r>
        <w:rPr>
          <w:color w:val="767070"/>
        </w:rPr>
        <w:t>the SPO/OPM which constitutes the Secretariat of the Steering Committee that oversees the implementation of the National Strategy, to conduct a comprehensive analysis of the implementation of the National Strategy during the past six months. PRP will support the SPO/OPM as it reaches out to all implementers to assess the current state of implementation. This analysis will be completed by the end of November 2018. PRP will propose to the Minister of Justice to convene a Steering Committee meeting to discuss the state of implementation and prioritize actions for the next six implementing months.</w:t>
      </w:r>
    </w:p>
    <w:p>
      <w:pPr>
        <w:pStyle w:val="BodyText"/>
        <w:spacing w:line="259" w:lineRule="auto" w:before="213"/>
        <w:ind w:left="740" w:right="1403"/>
      </w:pPr>
      <w:r>
        <w:rPr>
          <w:b/>
          <w:color w:val="767070"/>
        </w:rPr>
        <w:t>Supporting MESP to Assess the Status of the Implementation of the National Strategy. </w:t>
      </w:r>
      <w:r>
        <w:rPr>
          <w:color w:val="767070"/>
        </w:rPr>
        <w:t>PRP supported MESP with its report on the activities carried out during the last six months to implement recommendations of the NSPR. As noted above, the Strategic Planning Office of the OPM has requested similar reports of all NSPR implementers. The SPO has requested the implementers to fill out a user-friendly form, designed by PRP, to update the Action Plan that was adopted with the NSPR. The SPO also requested the implementers to identify Action Plan measures that need to be incorporated into ministries’ annual work plans for</w:t>
      </w:r>
      <w:r>
        <w:rPr>
          <w:color w:val="767070"/>
          <w:spacing w:val="-8"/>
        </w:rPr>
        <w:t> </w:t>
      </w:r>
      <w:r>
        <w:rPr>
          <w:color w:val="767070"/>
        </w:rPr>
        <w:t>2019.</w:t>
      </w:r>
    </w:p>
    <w:p>
      <w:pPr>
        <w:pStyle w:val="BodyText"/>
        <w:spacing w:before="8"/>
        <w:rPr>
          <w:sz w:val="23"/>
        </w:rPr>
      </w:pPr>
    </w:p>
    <w:p>
      <w:pPr>
        <w:spacing w:line="259" w:lineRule="auto" w:before="0"/>
        <w:ind w:left="740" w:right="1404" w:firstLine="0"/>
        <w:jc w:val="left"/>
        <w:rPr>
          <w:sz w:val="22"/>
        </w:rPr>
      </w:pPr>
      <w:r>
        <w:rPr>
          <w:b/>
          <w:color w:val="767070"/>
          <w:sz w:val="22"/>
        </w:rPr>
        <w:t>Assisting the MoJ in Preparing a Summary Report for the Minister of Justice to Present at the Meeting of the Inter-Ministerial Coordination Group on Human Rights. </w:t>
      </w:r>
      <w:r>
        <w:rPr>
          <w:color w:val="767070"/>
          <w:sz w:val="22"/>
        </w:rPr>
        <w:t>This coordination group is mandated to monitor the implementation of human rights-related policies and strategies in the Republic of Kosovo. The MoJ was called to report on the progress in implementing the NSPR as concerns its recommendations concerning women’s property rights.</w:t>
      </w:r>
    </w:p>
    <w:p>
      <w:pPr>
        <w:pStyle w:val="BodyText"/>
        <w:spacing w:before="7"/>
        <w:rPr>
          <w:sz w:val="23"/>
        </w:rPr>
      </w:pPr>
    </w:p>
    <w:p>
      <w:pPr>
        <w:pStyle w:val="BodyText"/>
        <w:spacing w:line="259" w:lineRule="auto"/>
        <w:ind w:left="740" w:right="1362"/>
      </w:pPr>
      <w:r>
        <w:rPr>
          <w:b/>
          <w:color w:val="767070"/>
        </w:rPr>
        <w:t>Assisting the MoJ to Update Economic Reform Programme (ERP) Activities on Property Rights. </w:t>
      </w:r>
      <w:r>
        <w:rPr>
          <w:color w:val="767070"/>
        </w:rPr>
        <w:t>MoJ contacted PRP to help them update and add activities for the property rights measure for the 2019-2021 timeframe, which primarily focuses on addressing large-scale informality. PRP also proposed adding the establishment of the information portal through the Official Gazette as a necessary activity, both to address delayed inheritance cases and informal transactions. The Economic Reform Programme is assessed on regular bases by the EU Commission. Kosovo, as an EU enlargement country, is required to adopt and implement a medium-term Economic Reform Programme. The programme consists of 20 priorities and among the top priorities is addressing large scale informality in the immovable property sector which is a recommendation addressed by the</w:t>
      </w:r>
      <w:r>
        <w:rPr>
          <w:color w:val="767070"/>
          <w:spacing w:val="-2"/>
        </w:rPr>
        <w:t> </w:t>
      </w:r>
      <w:r>
        <w:rPr>
          <w:color w:val="767070"/>
        </w:rPr>
        <w:t>NSPR.</w:t>
      </w:r>
    </w:p>
    <w:p>
      <w:pPr>
        <w:spacing w:after="0" w:line="259" w:lineRule="auto"/>
        <w:sectPr>
          <w:pgSz w:w="11910" w:h="16840"/>
          <w:pgMar w:header="0" w:footer="720" w:top="1420" w:bottom="900" w:left="700" w:right="100"/>
        </w:sectPr>
      </w:pPr>
    </w:p>
    <w:p>
      <w:pPr>
        <w:spacing w:line="252" w:lineRule="auto" w:before="88"/>
        <w:ind w:left="740" w:right="1397" w:firstLine="0"/>
        <w:jc w:val="left"/>
        <w:rPr>
          <w:sz w:val="22"/>
        </w:rPr>
      </w:pPr>
      <w:r>
        <w:rPr>
          <w:b/>
          <w:color w:val="767070"/>
          <w:sz w:val="22"/>
        </w:rPr>
        <w:t>Providing Comments on the Draft Report Prepared by the EU Twinning Project on Support to Kosovo Institutions on Stabilization and Association Agreement. </w:t>
      </w:r>
      <w:r>
        <w:rPr>
          <w:color w:val="767070"/>
          <w:sz w:val="22"/>
        </w:rPr>
        <w:t>Twinning experts prepared a gap assessment report on Chapter 3 ‘Rights of Establishment and Freedom to Provide Services’ in implementation of the activity 1.2 of the Twinning Project, with focus on the assessment of current legislative developments and harmonization of the national legislation with EU Acquis in 8 priority chapters, identified under the SAA.</w:t>
      </w:r>
    </w:p>
    <w:p>
      <w:pPr>
        <w:pStyle w:val="BodyText"/>
        <w:spacing w:before="1"/>
        <w:rPr>
          <w:sz w:val="23"/>
        </w:rPr>
      </w:pPr>
    </w:p>
    <w:p>
      <w:pPr>
        <w:pStyle w:val="BodyText"/>
        <w:ind w:left="740" w:right="1358"/>
      </w:pPr>
      <w:r>
        <w:rPr>
          <w:b/>
          <w:color w:val="767070"/>
        </w:rPr>
        <w:t>Reviewing MFA’s Draft Analyses on the State of Economic Diplomacy. </w:t>
      </w:r>
      <w:r>
        <w:rPr>
          <w:color w:val="767070"/>
        </w:rPr>
        <w:t>The MoJ requested PRP to conduct the review and identify recommendations that bear on the NSPR which could have an impact on economic development and increasing investment. This draft analysis is developed by the Department for Economic Diplomacy of the Ministry of Foreign Affairs for the purpose of defining objectives to be included on the Draft Strategy of Foreign Policy.</w:t>
      </w:r>
    </w:p>
    <w:p>
      <w:pPr>
        <w:pStyle w:val="BodyText"/>
        <w:spacing w:before="1"/>
        <w:rPr>
          <w:sz w:val="23"/>
        </w:rPr>
      </w:pPr>
    </w:p>
    <w:p>
      <w:pPr>
        <w:spacing w:before="0"/>
        <w:ind w:left="740" w:right="1391" w:firstLine="0"/>
        <w:jc w:val="left"/>
        <w:rPr>
          <w:sz w:val="22"/>
        </w:rPr>
      </w:pPr>
      <w:r>
        <w:rPr>
          <w:b/>
          <w:color w:val="767070"/>
          <w:sz w:val="22"/>
        </w:rPr>
        <w:t>MoJ Request for PRP Assistance in Updating its Regular Report on Activities Related to the Implementation of the National Strategy on Property Rights. </w:t>
      </w:r>
      <w:r>
        <w:rPr>
          <w:color w:val="767070"/>
          <w:sz w:val="22"/>
        </w:rPr>
        <w:t>PRP met with the Head of the European Integration and Coordination Policy Department at the MoJ, Mr. Lulzim Beqiri, to provide an update on activities related to the draft laws in process deriving from the NSPR. These Draft Laws are also included in several strategic documents of the MoJ. At the request of the MoJ, PRP also prepared a summary report on the substance of the Draft Law on Public Property, for MoJ’s regular reporting.</w:t>
      </w:r>
    </w:p>
    <w:p>
      <w:pPr>
        <w:pStyle w:val="BodyText"/>
        <w:spacing w:before="8"/>
        <w:rPr>
          <w:sz w:val="30"/>
        </w:rPr>
      </w:pPr>
    </w:p>
    <w:p>
      <w:pPr>
        <w:pStyle w:val="Heading4"/>
        <w:spacing w:line="242" w:lineRule="auto"/>
        <w:ind w:right="1438"/>
      </w:pPr>
      <w:bookmarkStart w:name="_bookmark10" w:id="11"/>
      <w:bookmarkEnd w:id="11"/>
      <w:r>
        <w:rPr/>
      </w:r>
      <w:r>
        <w:rPr>
          <w:color w:val="C00000"/>
        </w:rPr>
        <w:t>SUB-OBJECTIVE 1.2: REFORM LEGISLATION TO ACHIEVE NSPR REFORM OBJECTIVES DEVELOPED AND IMPLEMENTED</w:t>
      </w:r>
    </w:p>
    <w:p>
      <w:pPr>
        <w:pStyle w:val="BodyText"/>
        <w:spacing w:line="259" w:lineRule="auto" w:before="124"/>
        <w:ind w:left="740" w:right="1335"/>
      </w:pPr>
      <w:r>
        <w:rPr>
          <w:b/>
          <w:color w:val="767070"/>
        </w:rPr>
        <w:t>Regular Meetings with MoJ Counterparts to Discuss Progress of NSPR Draft Legislation. </w:t>
      </w:r>
      <w:r>
        <w:rPr>
          <w:color w:val="767070"/>
        </w:rPr>
        <w:t>PRP had frequent meetings with MoJ officials and staff, including Advisor to the Minister Altin Ademi; Legal Advisor to the Minister’s Cabinet Arben Limani; Head of the MoJ Department for European Integration and Policy Coordination, Lulzim Beqiri, Head of the MoJ Legal Office, Ardian Bajraktari; and Head of the Legislative Drafting Division, Floriana Rugova. The purpose of these meetings was to coordinate and monitor the progress of forming working groups; developing draft legislation; holding public sessions; posting the drafts for public notice and comment, and other</w:t>
      </w:r>
      <w:r>
        <w:rPr>
          <w:color w:val="767070"/>
          <w:spacing w:val="-2"/>
        </w:rPr>
        <w:t> </w:t>
      </w:r>
      <w:r>
        <w:rPr>
          <w:color w:val="767070"/>
        </w:rPr>
        <w:t>matters.</w:t>
      </w:r>
    </w:p>
    <w:p>
      <w:pPr>
        <w:pStyle w:val="BodyText"/>
        <w:spacing w:before="5"/>
        <w:rPr>
          <w:sz w:val="23"/>
        </w:rPr>
      </w:pPr>
    </w:p>
    <w:p>
      <w:pPr>
        <w:pStyle w:val="Heading6"/>
        <w:spacing w:before="1"/>
        <w:rPr>
          <w:i/>
          <w:u w:val="none"/>
        </w:rPr>
      </w:pPr>
      <w:r>
        <w:rPr>
          <w:rFonts w:ascii="Times New Roman" w:hAnsi="Times New Roman"/>
          <w:b w:val="0"/>
          <w:i w:val="0"/>
          <w:color w:val="767070"/>
          <w:spacing w:val="-56"/>
          <w:w w:val="100"/>
          <w:u w:val="single" w:color="767070"/>
        </w:rPr>
        <w:t> </w:t>
      </w:r>
      <w:r>
        <w:rPr>
          <w:i/>
          <w:color w:val="767070"/>
          <w:u w:val="single" w:color="767070"/>
        </w:rPr>
        <w:t>“Inheritance Package” of Legislation in Parliament</w:t>
      </w:r>
    </w:p>
    <w:p>
      <w:pPr>
        <w:pStyle w:val="BodyText"/>
        <w:spacing w:before="8"/>
        <w:rPr>
          <w:b/>
          <w:i/>
          <w:sz w:val="16"/>
        </w:rPr>
      </w:pPr>
    </w:p>
    <w:p>
      <w:pPr>
        <w:pStyle w:val="BodyText"/>
        <w:spacing w:line="259" w:lineRule="auto" w:before="101"/>
        <w:ind w:left="740" w:right="1403"/>
      </w:pPr>
      <w:r>
        <w:rPr>
          <w:color w:val="767070"/>
        </w:rPr>
        <w:t>The Parliamentary Commission for Legislation has completed its review of the Draft Law on Notary and the Draft Law on amending the Law on Non-Contested Procedure and has sent them on for second reading in the plenary session of the Parliament.</w:t>
      </w:r>
    </w:p>
    <w:p>
      <w:pPr>
        <w:pStyle w:val="BodyText"/>
        <w:spacing w:before="1"/>
      </w:pPr>
    </w:p>
    <w:p>
      <w:pPr>
        <w:pStyle w:val="Heading6"/>
        <w:rPr>
          <w:i/>
          <w:u w:val="none"/>
        </w:rPr>
      </w:pPr>
      <w:r>
        <w:rPr>
          <w:i/>
          <w:color w:val="767070"/>
          <w:u w:val="single" w:color="767070"/>
        </w:rPr>
        <w:t>Draft Law on Public Property</w:t>
      </w:r>
    </w:p>
    <w:p>
      <w:pPr>
        <w:pStyle w:val="BodyText"/>
        <w:rPr>
          <w:b/>
          <w:i/>
          <w:sz w:val="15"/>
        </w:rPr>
      </w:pPr>
    </w:p>
    <w:p>
      <w:pPr>
        <w:pStyle w:val="BodyText"/>
        <w:spacing w:line="252" w:lineRule="auto" w:before="101"/>
        <w:ind w:left="740" w:right="1371"/>
      </w:pPr>
      <w:r>
        <w:rPr>
          <w:color w:val="767070"/>
        </w:rPr>
        <w:t>During this Quarter the MoJ convened the Working Group (WG) for this draft law. PRP prepared and submitted to the WG the first draft, which had been reviewed in joint meetings with representatives from the Legal Office of the MoJ and a representative from the Cabinet of the MoJ.</w:t>
      </w:r>
    </w:p>
    <w:p>
      <w:pPr>
        <w:pStyle w:val="BodyText"/>
        <w:spacing w:before="159"/>
        <w:ind w:left="740" w:right="1466"/>
      </w:pPr>
      <w:r>
        <w:rPr>
          <w:color w:val="767070"/>
        </w:rPr>
        <w:t>During the meeting, WG members reviewed the Draft Law article by article and provided written comments. PRP reviewed all the comments and prepared a detailed report for the MoJ, indicating PRP’s recommendation on each comment. PRP also revised the draft law accordingly. The MoJ circulated the amended version of the draft law for preliminary consultation. The draft was then published for public consultation on the Public Consultation Platform, where all interested parties will have the opportunity to make comments. PRP will continue to support the MoJ throughout the process, including reviewing comments and drafting all supporting documents.</w:t>
      </w:r>
    </w:p>
    <w:p>
      <w:pPr>
        <w:spacing w:after="0"/>
        <w:sectPr>
          <w:pgSz w:w="11910" w:h="16840"/>
          <w:pgMar w:header="0" w:footer="720" w:top="1580" w:bottom="900" w:left="700" w:right="100"/>
        </w:sectPr>
      </w:pPr>
    </w:p>
    <w:p>
      <w:pPr>
        <w:pStyle w:val="BodyText"/>
        <w:spacing w:line="259" w:lineRule="auto" w:before="74"/>
        <w:ind w:left="740" w:right="1803"/>
      </w:pPr>
      <w:r>
        <w:rPr>
          <w:color w:val="767070"/>
        </w:rPr>
        <w:t>The deadline for comments and suggestions was October 5, 2018. Comments can be posted at </w:t>
      </w:r>
      <w:hyperlink r:id="rId15">
        <w:r>
          <w:rPr>
            <w:color w:val="2E5395"/>
            <w:u w:val="single" w:color="2E5395"/>
          </w:rPr>
          <w:t>http://konsultimet.rks-gov.net/viewConsult.php?ConsultationID=40473</w:t>
        </w:r>
      </w:hyperlink>
    </w:p>
    <w:p>
      <w:pPr>
        <w:pStyle w:val="BodyText"/>
        <w:rPr>
          <w:sz w:val="15"/>
        </w:rPr>
      </w:pPr>
    </w:p>
    <w:p>
      <w:pPr>
        <w:pStyle w:val="Heading6"/>
        <w:spacing w:before="101"/>
        <w:rPr>
          <w:i/>
          <w:u w:val="none"/>
        </w:rPr>
      </w:pPr>
      <w:r>
        <w:rPr>
          <w:i/>
          <w:color w:val="767070"/>
          <w:u w:val="single" w:color="767070"/>
        </w:rPr>
        <w:t>Draft Law on Cadaster of Immoveable Property</w:t>
      </w:r>
    </w:p>
    <w:p>
      <w:pPr>
        <w:pStyle w:val="BodyText"/>
        <w:spacing w:before="10"/>
        <w:rPr>
          <w:b/>
          <w:i/>
          <w:sz w:val="16"/>
        </w:rPr>
      </w:pPr>
    </w:p>
    <w:p>
      <w:pPr>
        <w:pStyle w:val="BodyText"/>
        <w:spacing w:line="259" w:lineRule="auto" w:before="101"/>
        <w:ind w:left="740" w:right="1434"/>
      </w:pPr>
      <w:r>
        <w:rPr>
          <w:color w:val="767070"/>
        </w:rPr>
        <w:t>PRP’s met on two occasions with the WG to discuss PRP’s comments. The WG refused to accept, without explanation, the most important of PRP’s recommendations, including the recommendation to amend the law to provide that the Cadaster will be fully open to the public, as called for by the NSPR.</w:t>
      </w:r>
    </w:p>
    <w:p>
      <w:pPr>
        <w:pStyle w:val="BodyText"/>
        <w:spacing w:before="6"/>
        <w:rPr>
          <w:sz w:val="23"/>
        </w:rPr>
      </w:pPr>
    </w:p>
    <w:p>
      <w:pPr>
        <w:pStyle w:val="BodyText"/>
        <w:spacing w:line="259" w:lineRule="auto"/>
        <w:ind w:left="740" w:right="1348"/>
      </w:pPr>
      <w:r>
        <w:rPr>
          <w:color w:val="767070"/>
        </w:rPr>
        <w:t>PRP then requested a meeting with Arben Citaku, the General Secretary of MESP to discuss PRP’s concerns about the Draft Law. PRP noted that the draft Law was developed in a very closed manner within the KCA and outside of the NSPR process. PRP noted that is has not been allowed to participate in the WG sessions, and the WG has continually refused to incorporate provisions requiring greater transparency. Additionally, the WG up has failed to comply with protocol requiring it to document comments received, the comments rejected, and the reasons for the rejection.</w:t>
      </w:r>
    </w:p>
    <w:p>
      <w:pPr>
        <w:pStyle w:val="BodyText"/>
        <w:spacing w:before="10"/>
        <w:rPr>
          <w:sz w:val="23"/>
        </w:rPr>
      </w:pPr>
    </w:p>
    <w:p>
      <w:pPr>
        <w:pStyle w:val="BodyText"/>
        <w:spacing w:line="259" w:lineRule="auto" w:before="1"/>
        <w:ind w:left="740" w:right="1373"/>
      </w:pPr>
      <w:r>
        <w:rPr>
          <w:color w:val="767070"/>
        </w:rPr>
        <w:t>Mr. Çitaku expressed dissatisfaction with the procedural irregularities and stated his desire that MESP assume control of the drafting process.  At his request, PRP provided him its comments on the draft. He stated his intention to convene a meeting with the Minister, the Minister’s Cabinet, the MESP Legal Office and the Working Group to discuss these issues and bring the process into line with procedural requirements.</w:t>
      </w:r>
    </w:p>
    <w:p>
      <w:pPr>
        <w:pStyle w:val="BodyText"/>
        <w:spacing w:before="7"/>
        <w:rPr>
          <w:sz w:val="23"/>
        </w:rPr>
      </w:pPr>
    </w:p>
    <w:p>
      <w:pPr>
        <w:pStyle w:val="Heading6"/>
        <w:rPr>
          <w:i/>
          <w:u w:val="none"/>
        </w:rPr>
      </w:pPr>
      <w:r>
        <w:rPr>
          <w:i/>
          <w:color w:val="767070"/>
          <w:u w:val="single" w:color="767070"/>
        </w:rPr>
        <w:t>Law on the Prevention of Money Laundering and Combatting Terrorist Financing</w:t>
      </w:r>
    </w:p>
    <w:p>
      <w:pPr>
        <w:pStyle w:val="BodyText"/>
        <w:spacing w:before="8"/>
        <w:rPr>
          <w:b/>
          <w:i/>
          <w:sz w:val="16"/>
        </w:rPr>
      </w:pPr>
    </w:p>
    <w:p>
      <w:pPr>
        <w:pStyle w:val="BodyText"/>
        <w:spacing w:line="259" w:lineRule="auto" w:before="101"/>
        <w:ind w:left="740" w:right="1364"/>
      </w:pPr>
      <w:r>
        <w:rPr>
          <w:color w:val="767070"/>
        </w:rPr>
        <w:t>The law requires that payments of €10,000 or more must be made by means of a bank transfer. This poses serious obstacles to parties seeking to formalize property transactions that took place prior to 2005 when the law went into effect. PRP produced an analysis and recommendations to amend the legislation to exempt transactions prior to 2005 and presented them to</w:t>
      </w:r>
      <w:r>
        <w:rPr>
          <w:color w:val="767070"/>
          <w:spacing w:val="-17"/>
        </w:rPr>
        <w:t> </w:t>
      </w:r>
      <w:r>
        <w:rPr>
          <w:color w:val="767070"/>
        </w:rPr>
        <w:t>MESP.</w:t>
      </w:r>
    </w:p>
    <w:p>
      <w:pPr>
        <w:pStyle w:val="BodyText"/>
        <w:spacing w:before="10"/>
        <w:rPr>
          <w:sz w:val="21"/>
        </w:rPr>
      </w:pPr>
    </w:p>
    <w:p>
      <w:pPr>
        <w:pStyle w:val="Heading6"/>
        <w:rPr>
          <w:i/>
          <w:u w:val="none"/>
        </w:rPr>
      </w:pPr>
      <w:r>
        <w:rPr>
          <w:i/>
          <w:color w:val="767070"/>
          <w:u w:val="single" w:color="767070"/>
        </w:rPr>
        <w:t>Draft Law on the KPCVA</w:t>
      </w:r>
    </w:p>
    <w:p>
      <w:pPr>
        <w:pStyle w:val="BodyText"/>
        <w:spacing w:before="10"/>
        <w:rPr>
          <w:b/>
          <w:i/>
          <w:sz w:val="16"/>
        </w:rPr>
      </w:pPr>
    </w:p>
    <w:p>
      <w:pPr>
        <w:pStyle w:val="BodyText"/>
        <w:spacing w:before="101"/>
        <w:ind w:left="740" w:right="1444"/>
      </w:pPr>
      <w:r>
        <w:rPr>
          <w:color w:val="767070"/>
        </w:rPr>
        <w:t>During this Quarter, PRP prepared the Explanatory Memorandum and supported a meeting of the working group that prepared the legal amendments to the KPCVA Law. Comments received during the public consultation phase – from the UNHCR, Advancing Together (a local CSO), and the World Bank – were discussed and addressed. The meeting was also attended by the EUSR. No comments challenged the proposed additional mandate for the KPCVA to address informality.</w:t>
      </w:r>
    </w:p>
    <w:p>
      <w:pPr>
        <w:pStyle w:val="BodyText"/>
        <w:spacing w:before="160"/>
        <w:ind w:left="740" w:right="1637"/>
      </w:pPr>
      <w:r>
        <w:rPr>
          <w:color w:val="767070"/>
        </w:rPr>
        <w:t>Following discussions of the working group, the Office of the Prime Minister submitted the Draft Law to the Government for adoption. The Office of the Prime Minister has submitted the final version of the Draft Law to the Ministry of Finance for a budgetary impact assessment, and to the Ministry of European Integration for an assessment of compliance with EU </w:t>
      </w:r>
      <w:r>
        <w:rPr>
          <w:i/>
          <w:color w:val="767070"/>
        </w:rPr>
        <w:t>acquis</w:t>
      </w:r>
      <w:r>
        <w:rPr>
          <w:color w:val="767070"/>
        </w:rPr>
        <w:t>. The GoK has approved the draft and sent it on to the Parliament.</w:t>
      </w:r>
    </w:p>
    <w:p>
      <w:pPr>
        <w:pStyle w:val="BodyText"/>
        <w:spacing w:line="259" w:lineRule="auto" w:before="160"/>
        <w:ind w:left="740" w:right="1345"/>
      </w:pPr>
      <w:r>
        <w:rPr>
          <w:color w:val="767070"/>
        </w:rPr>
        <w:t>PRP continued to meet with the Director of the Legal Department of the Office of the Prime Minister, Mr. Mentor Borovci, and discussed the next steps for adopting the amendments to the Law on the KPCVA. Mr. Borovci assured PRP that he would personally attend legislative committee meetings to present and support the amendments, drafted with PRP’s assistance, that address large scale informality.</w:t>
      </w:r>
    </w:p>
    <w:p>
      <w:pPr>
        <w:spacing w:after="0" w:line="259" w:lineRule="auto"/>
        <w:sectPr>
          <w:pgSz w:w="11910" w:h="16840"/>
          <w:pgMar w:header="0" w:footer="720" w:top="1580" w:bottom="900" w:left="700" w:right="100"/>
        </w:sectPr>
      </w:pPr>
    </w:p>
    <w:p>
      <w:pPr>
        <w:pStyle w:val="Heading6"/>
        <w:spacing w:before="80"/>
        <w:rPr>
          <w:i/>
          <w:u w:val="none"/>
        </w:rPr>
      </w:pPr>
      <w:r>
        <w:rPr>
          <w:i/>
          <w:color w:val="767070"/>
          <w:u w:val="single" w:color="767070"/>
        </w:rPr>
        <w:t>Draft Law on Construction Land</w:t>
      </w:r>
    </w:p>
    <w:p>
      <w:pPr>
        <w:pStyle w:val="BodyText"/>
        <w:rPr>
          <w:b/>
          <w:i/>
          <w:sz w:val="20"/>
        </w:rPr>
      </w:pPr>
    </w:p>
    <w:p>
      <w:pPr>
        <w:pStyle w:val="BodyText"/>
        <w:spacing w:before="5"/>
        <w:rPr>
          <w:b/>
          <w:i/>
          <w:sz w:val="20"/>
        </w:rPr>
      </w:pPr>
    </w:p>
    <w:p>
      <w:pPr>
        <w:pStyle w:val="BodyText"/>
        <w:spacing w:line="259" w:lineRule="auto" w:before="101"/>
        <w:ind w:left="740" w:right="1427"/>
      </w:pPr>
      <w:r>
        <w:rPr>
          <w:color w:val="767070"/>
        </w:rPr>
        <w:t>During the consultation process comments were received from the KCA, Ministry of Agriculture, Forestry and Rural Development (MoAFRD), Association of Kosovo Geodesists and the Ministry of Finance MoF. PRP reviewed and incorporated relevant comments into the Draft Law and developed the list of comments which are proposed to be incorporated. This version of the Draft Law will be reviewed by the WG.</w:t>
      </w:r>
    </w:p>
    <w:p>
      <w:pPr>
        <w:pStyle w:val="BodyText"/>
        <w:spacing w:before="11"/>
        <w:rPr>
          <w:sz w:val="21"/>
        </w:rPr>
      </w:pPr>
    </w:p>
    <w:p>
      <w:pPr>
        <w:pStyle w:val="Heading6"/>
        <w:rPr>
          <w:i/>
          <w:u w:val="none"/>
        </w:rPr>
      </w:pPr>
      <w:r>
        <w:rPr>
          <w:i/>
          <w:color w:val="767070"/>
          <w:u w:val="single" w:color="767070"/>
        </w:rPr>
        <w:t>Draft Law on Allocation for Use and Exchange of Municipal Immovable Property</w:t>
      </w:r>
    </w:p>
    <w:p>
      <w:pPr>
        <w:pStyle w:val="BodyText"/>
        <w:spacing w:before="8"/>
        <w:rPr>
          <w:b/>
          <w:i/>
          <w:sz w:val="16"/>
        </w:rPr>
      </w:pPr>
    </w:p>
    <w:p>
      <w:pPr>
        <w:pStyle w:val="BodyText"/>
        <w:spacing w:line="259" w:lineRule="auto" w:before="101"/>
        <w:ind w:left="740" w:right="1336"/>
      </w:pPr>
      <w:r>
        <w:rPr>
          <w:color w:val="767070"/>
        </w:rPr>
        <w:t>After the WG completed its work on the Draft Law, the MLGA Legal Office reorganized the draft on its own initiative and sent that draft to the GoK. PRP reviewed this draft law and found that some comments had been omitted in the process, although the PRP’s key recommendations were retained.</w:t>
      </w:r>
    </w:p>
    <w:p>
      <w:pPr>
        <w:pStyle w:val="BodyText"/>
        <w:spacing w:before="9"/>
        <w:rPr>
          <w:sz w:val="23"/>
        </w:rPr>
      </w:pPr>
    </w:p>
    <w:p>
      <w:pPr>
        <w:pStyle w:val="BodyText"/>
        <w:spacing w:line="259" w:lineRule="auto"/>
        <w:ind w:left="740" w:right="1556"/>
      </w:pPr>
      <w:r>
        <w:rPr>
          <w:color w:val="767070"/>
        </w:rPr>
        <w:t>The GoK has approved the draft and sent it to the Parliament. PRP has prepared comments that it will send to the Parliamentary Commission reviewing the draft (the Parliamentary Commission for Public Administration, Local Government Administration, and Media), to ensure the draft is fully harmonized with NSPR recommendations and has secured support from the Chairperson of the Parliamentary Commission for this approach.</w:t>
      </w:r>
    </w:p>
    <w:p>
      <w:pPr>
        <w:pStyle w:val="BodyText"/>
        <w:spacing w:before="7"/>
        <w:rPr>
          <w:sz w:val="23"/>
        </w:rPr>
      </w:pPr>
    </w:p>
    <w:p>
      <w:pPr>
        <w:pStyle w:val="Heading6"/>
        <w:spacing w:line="259" w:lineRule="auto"/>
        <w:ind w:right="1682"/>
        <w:rPr>
          <w:u w:val="none"/>
        </w:rPr>
      </w:pPr>
      <w:r>
        <w:rPr>
          <w:i/>
          <w:color w:val="767070"/>
          <w:u w:val="single" w:color="767070"/>
        </w:rPr>
        <w:t>Draft Law on Amending the Law on the Sale of the Apartments in which there is a Tenure</w:t>
      </w:r>
      <w:r>
        <w:rPr>
          <w:i/>
          <w:color w:val="767070"/>
          <w:u w:val="none"/>
        </w:rPr>
        <w:t> </w:t>
      </w:r>
      <w:r>
        <w:rPr>
          <w:color w:val="767070"/>
          <w:u w:val="single" w:color="767070"/>
        </w:rPr>
        <w:t>Right</w:t>
      </w:r>
    </w:p>
    <w:p>
      <w:pPr>
        <w:pStyle w:val="BodyText"/>
        <w:spacing w:line="259" w:lineRule="auto" w:before="160"/>
        <w:ind w:left="740" w:right="1470"/>
      </w:pPr>
      <w:r>
        <w:rPr>
          <w:color w:val="767070"/>
        </w:rPr>
        <w:t>PRP participated in all WG meetings and assisted the Kosovo Privatization Agency (PAK) and MESP to clarify and harmonize their proposed amendments. PRP has supported MESP to finalize and translate the Draft Law that has been posted for public consultation.</w:t>
      </w:r>
    </w:p>
    <w:p>
      <w:pPr>
        <w:pStyle w:val="Heading6"/>
        <w:spacing w:line="259" w:lineRule="auto" w:before="160"/>
        <w:ind w:right="2461"/>
        <w:rPr>
          <w:u w:val="none"/>
        </w:rPr>
      </w:pPr>
      <w:r>
        <w:rPr>
          <w:i/>
          <w:color w:val="767070"/>
          <w:u w:val="single" w:color="767070"/>
        </w:rPr>
        <w:t>Draft Law on the Chamber of Architects and Chamber of Engineers in the Field of</w:t>
      </w:r>
      <w:r>
        <w:rPr>
          <w:i/>
          <w:color w:val="767070"/>
          <w:u w:val="none"/>
        </w:rPr>
        <w:t> </w:t>
      </w:r>
      <w:r>
        <w:rPr>
          <w:color w:val="767070"/>
          <w:u w:val="single" w:color="767070"/>
        </w:rPr>
        <w:t>Construction</w:t>
      </w:r>
    </w:p>
    <w:p>
      <w:pPr>
        <w:pStyle w:val="BodyText"/>
        <w:spacing w:before="11"/>
        <w:rPr>
          <w:b/>
          <w:i/>
          <w:sz w:val="14"/>
        </w:rPr>
      </w:pPr>
    </w:p>
    <w:p>
      <w:pPr>
        <w:pStyle w:val="BodyText"/>
        <w:spacing w:line="259" w:lineRule="auto" w:before="101"/>
        <w:ind w:left="740" w:right="1521"/>
      </w:pPr>
      <w:r>
        <w:rPr>
          <w:color w:val="767070"/>
        </w:rPr>
        <w:t>PRP assisted MESP to incorporate into the Draft Law comments received from the Office of Prime Minister. The Draft Law has been posted for public consultation and will soon be sent to the GoK for approval.</w:t>
      </w:r>
    </w:p>
    <w:p>
      <w:pPr>
        <w:pStyle w:val="BodyText"/>
      </w:pPr>
    </w:p>
    <w:p>
      <w:pPr>
        <w:pStyle w:val="Heading6"/>
        <w:spacing w:line="259" w:lineRule="auto"/>
        <w:ind w:right="1468"/>
        <w:rPr>
          <w:u w:val="none"/>
        </w:rPr>
      </w:pPr>
      <w:r>
        <w:rPr>
          <w:i/>
          <w:color w:val="767070"/>
          <w:u w:val="single" w:color="767070"/>
        </w:rPr>
        <w:t>Concept Document for the Law on the Transformation of the Property Rights of Immovable</w:t>
      </w:r>
      <w:r>
        <w:rPr>
          <w:i/>
          <w:color w:val="767070"/>
          <w:u w:val="none"/>
        </w:rPr>
        <w:t> </w:t>
      </w:r>
      <w:r>
        <w:rPr>
          <w:color w:val="767070"/>
          <w:u w:val="single" w:color="767070"/>
        </w:rPr>
        <w:t>Socially Owned Property</w:t>
      </w:r>
    </w:p>
    <w:p>
      <w:pPr>
        <w:pStyle w:val="BodyText"/>
        <w:spacing w:before="1"/>
        <w:rPr>
          <w:b/>
          <w:i/>
          <w:sz w:val="15"/>
        </w:rPr>
      </w:pPr>
    </w:p>
    <w:p>
      <w:pPr>
        <w:pStyle w:val="BodyText"/>
        <w:spacing w:line="259" w:lineRule="auto" w:before="101"/>
        <w:ind w:left="740" w:right="1329"/>
      </w:pPr>
      <w:r>
        <w:rPr>
          <w:color w:val="767070"/>
        </w:rPr>
        <w:t>At the request of the MoJ, PRP reorganized the Draft Concept Document to bring it into conformity with the new guidelines for concept documents and sent it to the WG. PRP participated in the first WG meeting and reviewed comments and suggestions proposed by of the WG that it helped to incorporate into the Concept Document. This is a priority reform under the NSPR and the MoJ will organize a workshop to present the Concept Document to a larger audience and elicit their comments.</w:t>
      </w:r>
    </w:p>
    <w:p>
      <w:pPr>
        <w:pStyle w:val="BodyText"/>
        <w:spacing w:before="7"/>
        <w:rPr>
          <w:sz w:val="23"/>
        </w:rPr>
      </w:pPr>
    </w:p>
    <w:p>
      <w:pPr>
        <w:pStyle w:val="Heading6"/>
        <w:rPr>
          <w:i/>
          <w:u w:val="none"/>
        </w:rPr>
      </w:pPr>
      <w:r>
        <w:rPr>
          <w:i/>
          <w:color w:val="767070"/>
          <w:u w:val="single" w:color="767070"/>
        </w:rPr>
        <w:t>Concept Document for Contested Procedure</w:t>
      </w:r>
    </w:p>
    <w:p>
      <w:pPr>
        <w:pStyle w:val="BodyText"/>
        <w:spacing w:before="1"/>
        <w:rPr>
          <w:b/>
          <w:i/>
        </w:rPr>
      </w:pPr>
    </w:p>
    <w:p>
      <w:pPr>
        <w:pStyle w:val="BodyText"/>
        <w:ind w:left="740" w:right="1592"/>
      </w:pPr>
      <w:r>
        <w:rPr>
          <w:color w:val="767070"/>
        </w:rPr>
        <w:t>Has been published for public notice and comment. PRP reviewed all the comments received and helped prepare the final report on the Public Consultation Process, it will assist the MoJ to finalize the Concept Document and submit it for approval.</w:t>
      </w:r>
    </w:p>
    <w:p>
      <w:pPr>
        <w:spacing w:after="0"/>
        <w:sectPr>
          <w:pgSz w:w="11910" w:h="16840"/>
          <w:pgMar w:header="0" w:footer="720" w:top="1320" w:bottom="900" w:left="700" w:right="100"/>
        </w:sectPr>
      </w:pPr>
    </w:p>
    <w:p>
      <w:pPr>
        <w:pStyle w:val="Heading6"/>
        <w:spacing w:line="259" w:lineRule="auto" w:before="80"/>
        <w:ind w:right="1968"/>
        <w:rPr>
          <w:u w:val="none"/>
        </w:rPr>
      </w:pPr>
      <w:r>
        <w:rPr>
          <w:i/>
          <w:color w:val="767070"/>
          <w:u w:val="single" w:color="767070"/>
        </w:rPr>
        <w:t>Administrative Instruction (AI) on implementation of Kosovo Property Comparison and</w:t>
      </w:r>
      <w:r>
        <w:rPr>
          <w:i/>
          <w:color w:val="767070"/>
          <w:u w:val="none"/>
        </w:rPr>
        <w:t> </w:t>
      </w:r>
      <w:r>
        <w:rPr>
          <w:color w:val="767070"/>
          <w:u w:val="single" w:color="767070"/>
        </w:rPr>
        <w:t>Verification Agency (KPCVA)</w:t>
      </w:r>
    </w:p>
    <w:p>
      <w:pPr>
        <w:pStyle w:val="BodyText"/>
        <w:spacing w:before="11"/>
        <w:rPr>
          <w:b/>
          <w:i/>
          <w:sz w:val="14"/>
        </w:rPr>
      </w:pPr>
    </w:p>
    <w:p>
      <w:pPr>
        <w:pStyle w:val="BodyText"/>
        <w:spacing w:line="259" w:lineRule="auto" w:before="101"/>
        <w:ind w:left="740" w:right="1341"/>
      </w:pPr>
      <w:r>
        <w:rPr>
          <w:color w:val="767070"/>
        </w:rPr>
        <w:t>The GoK has adopted the AI on the KPCVA Compensation Scheme. With the adoption of the AI, which PRP assisted to develop, the KPCVA will be able to implement HPD “A” and “C” category decisions. The EU’s 2018 Country Report on Kosovo linked (mistakenly) the implementation of the NSPR with the delayed implementation of the Compensation Scheme. The so-called “A” category claims pertain to Kosovo Albanians who were terminated from employment owing to discriminatory legislation enacted under the former regime. When their employment was terminated, they also lost their rights to socially owned apartments. Typically, the apartment was then allocated to a Kosovo Serb who was subsequently displaced, category “C”. Under the legislation governing the Housing and Property Directorate (HPD), claimant “A” would be restituted the apartment and claimant “C” would receive compensation for the rights lost in the apartment. The adopted AI sets the procedures for recognizing property ownership for “C” claimants and, in turn, for compensating “A” claimants.</w:t>
      </w:r>
    </w:p>
    <w:p>
      <w:pPr>
        <w:pStyle w:val="BodyText"/>
        <w:spacing w:before="9"/>
        <w:rPr>
          <w:sz w:val="21"/>
        </w:rPr>
      </w:pPr>
    </w:p>
    <w:p>
      <w:pPr>
        <w:pStyle w:val="Heading6"/>
        <w:spacing w:before="1"/>
        <w:ind w:right="1677"/>
        <w:rPr>
          <w:u w:val="none"/>
        </w:rPr>
      </w:pPr>
      <w:r>
        <w:rPr>
          <w:i/>
          <w:color w:val="767070"/>
          <w:u w:val="single" w:color="767070"/>
        </w:rPr>
        <w:t>Draft Administrative Instruction on Setting Procedures for Submission and Review of</w:t>
      </w:r>
      <w:r>
        <w:rPr>
          <w:i/>
          <w:color w:val="767070"/>
          <w:u w:val="none"/>
        </w:rPr>
        <w:t> </w:t>
      </w:r>
      <w:r>
        <w:rPr>
          <w:color w:val="767070"/>
          <w:u w:val="single" w:color="767070"/>
        </w:rPr>
        <w:t>Applications for Terms of Constructions, Construction Permits and Demolition Permits for</w:t>
      </w:r>
      <w:r>
        <w:rPr>
          <w:color w:val="767070"/>
          <w:u w:val="none"/>
        </w:rPr>
        <w:t> </w:t>
      </w:r>
      <w:r>
        <w:rPr>
          <w:color w:val="767070"/>
          <w:u w:val="single" w:color="767070"/>
        </w:rPr>
        <w:t>Category III Constructions</w:t>
      </w:r>
    </w:p>
    <w:p>
      <w:pPr>
        <w:pStyle w:val="BodyText"/>
        <w:spacing w:before="11"/>
        <w:rPr>
          <w:b/>
          <w:i/>
          <w:sz w:val="21"/>
        </w:rPr>
      </w:pPr>
    </w:p>
    <w:p>
      <w:pPr>
        <w:pStyle w:val="BodyText"/>
        <w:ind w:left="740" w:right="1496"/>
      </w:pPr>
      <w:r>
        <w:rPr>
          <w:color w:val="767070"/>
        </w:rPr>
        <w:t>PRP collaborated with the MESP Construction Division to develop the AI. It has been published for public consultation and will be submitted to the Minister for approval in the next quarter.</w:t>
      </w:r>
    </w:p>
    <w:p>
      <w:pPr>
        <w:pStyle w:val="BodyText"/>
        <w:spacing w:before="7"/>
        <w:rPr>
          <w:sz w:val="23"/>
        </w:rPr>
      </w:pPr>
    </w:p>
    <w:p>
      <w:pPr>
        <w:pStyle w:val="Heading6"/>
        <w:spacing w:before="1"/>
        <w:rPr>
          <w:i/>
          <w:u w:val="none"/>
        </w:rPr>
      </w:pPr>
      <w:r>
        <w:rPr>
          <w:i/>
          <w:color w:val="C00000"/>
          <w:u w:val="single" w:color="C00000"/>
        </w:rPr>
        <w:t>Cooperation and Coordination with Other Stakeholders</w:t>
      </w:r>
    </w:p>
    <w:p>
      <w:pPr>
        <w:spacing w:line="259" w:lineRule="auto" w:before="162"/>
        <w:ind w:left="740" w:right="1595" w:firstLine="0"/>
        <w:jc w:val="both"/>
        <w:rPr>
          <w:sz w:val="22"/>
        </w:rPr>
      </w:pPr>
      <w:r>
        <w:rPr>
          <w:b/>
          <w:color w:val="767070"/>
          <w:sz w:val="22"/>
        </w:rPr>
        <w:t>Strategy Session Held with Experts of the EU Funded CCP2. </w:t>
      </w:r>
      <w:r>
        <w:rPr>
          <w:color w:val="767070"/>
          <w:sz w:val="22"/>
        </w:rPr>
        <w:t>PRP and CCP2 met several times to discuss harmonization of the Civil Code chapters on property with legislation foreseen in the NSPR.</w:t>
      </w:r>
    </w:p>
    <w:p>
      <w:pPr>
        <w:pStyle w:val="BodyText"/>
        <w:spacing w:before="6"/>
        <w:rPr>
          <w:sz w:val="23"/>
        </w:rPr>
      </w:pPr>
    </w:p>
    <w:p>
      <w:pPr>
        <w:pStyle w:val="BodyText"/>
        <w:spacing w:line="259" w:lineRule="auto"/>
        <w:ind w:left="740" w:right="1566"/>
      </w:pPr>
      <w:r>
        <w:rPr>
          <w:color w:val="767070"/>
        </w:rPr>
        <w:t>PRP and CCP2 jointly prepared a memo, incorporating comments from USAID, outline the approach to coordinate development of the property rights legal framework to ensure all laws are harmonized with each other and recommendations contained in the NSPR. The memo, signed by both PRP and CCP2, has been submitted to the MoJ by CCP2.</w:t>
      </w:r>
    </w:p>
    <w:p>
      <w:pPr>
        <w:pStyle w:val="BodyText"/>
        <w:spacing w:before="9"/>
        <w:rPr>
          <w:sz w:val="23"/>
        </w:rPr>
      </w:pPr>
    </w:p>
    <w:p>
      <w:pPr>
        <w:spacing w:before="0"/>
        <w:ind w:left="740" w:right="1610" w:firstLine="0"/>
        <w:jc w:val="left"/>
        <w:rPr>
          <w:sz w:val="22"/>
        </w:rPr>
      </w:pPr>
      <w:r>
        <w:rPr>
          <w:b/>
          <w:color w:val="767070"/>
          <w:sz w:val="22"/>
        </w:rPr>
        <w:t>PRP Discussed the Draft Law on the KPCVA with US Embassy and USAID. </w:t>
      </w:r>
      <w:r>
        <w:rPr>
          <w:color w:val="767070"/>
          <w:sz w:val="22"/>
        </w:rPr>
        <w:t>PRP described the salient features of the proposed amendments to the law that will authorize the KPCVA to address requests for formalizing informal rights acquired through informal transactions that took place prior to 1999.</w:t>
      </w:r>
    </w:p>
    <w:p>
      <w:pPr>
        <w:pStyle w:val="BodyText"/>
        <w:spacing w:before="2"/>
      </w:pPr>
    </w:p>
    <w:p>
      <w:pPr>
        <w:spacing w:before="0"/>
        <w:ind w:left="740" w:right="1445" w:firstLine="0"/>
        <w:jc w:val="left"/>
        <w:rPr>
          <w:sz w:val="22"/>
        </w:rPr>
      </w:pPr>
      <w:r>
        <w:rPr>
          <w:b/>
          <w:color w:val="767070"/>
          <w:sz w:val="22"/>
        </w:rPr>
        <w:t>PRP Met UNHCR to Discuss KPCVA Draft Law. </w:t>
      </w:r>
      <w:r>
        <w:rPr>
          <w:color w:val="767070"/>
          <w:sz w:val="22"/>
        </w:rPr>
        <w:t>Following the end of the consultation phase for the KPCVA Law, UNHCR contacted PRP to discuss its comments on the KPCVA draft law.</w:t>
      </w:r>
    </w:p>
    <w:p>
      <w:pPr>
        <w:pStyle w:val="BodyText"/>
        <w:ind w:left="740" w:right="1324"/>
      </w:pPr>
      <w:r>
        <w:rPr>
          <w:color w:val="767070"/>
        </w:rPr>
        <w:t>UNHCR’s comments exclusively focused on KPCVA’s property administration scheme and evictions. UNHCR had no comments or suggestions on amendments concerning informality.</w:t>
      </w:r>
    </w:p>
    <w:p>
      <w:pPr>
        <w:pStyle w:val="BodyText"/>
        <w:spacing w:before="10"/>
        <w:rPr>
          <w:sz w:val="21"/>
        </w:rPr>
      </w:pPr>
    </w:p>
    <w:p>
      <w:pPr>
        <w:spacing w:line="259" w:lineRule="auto" w:before="0"/>
        <w:ind w:left="740" w:right="1679" w:firstLine="0"/>
        <w:jc w:val="left"/>
        <w:rPr>
          <w:sz w:val="22"/>
        </w:rPr>
      </w:pPr>
      <w:r>
        <w:rPr>
          <w:b/>
          <w:color w:val="767070"/>
          <w:sz w:val="22"/>
        </w:rPr>
        <w:t>Potential Collaboration with Kosovo’s Office of the Ombudsperson. </w:t>
      </w:r>
      <w:r>
        <w:rPr>
          <w:color w:val="767070"/>
          <w:sz w:val="22"/>
        </w:rPr>
        <w:t>PRP met with Mrs. Suzana Gashi, Director of Department for Legal Issues of the Office of the Ombudsperson and discussed potential collaboration to:</w:t>
      </w:r>
    </w:p>
    <w:p>
      <w:pPr>
        <w:pStyle w:val="BodyText"/>
        <w:spacing w:before="8"/>
        <w:rPr>
          <w:sz w:val="23"/>
        </w:rPr>
      </w:pPr>
    </w:p>
    <w:p>
      <w:pPr>
        <w:pStyle w:val="ListParagraph"/>
        <w:numPr>
          <w:ilvl w:val="0"/>
          <w:numId w:val="1"/>
        </w:numPr>
        <w:tabs>
          <w:tab w:pos="962" w:val="left" w:leader="none"/>
        </w:tabs>
        <w:spacing w:line="259" w:lineRule="auto" w:before="0" w:after="0"/>
        <w:ind w:left="740" w:right="1760" w:firstLine="0"/>
        <w:jc w:val="left"/>
        <w:rPr>
          <w:sz w:val="22"/>
        </w:rPr>
      </w:pPr>
      <w:r>
        <w:rPr>
          <w:color w:val="767070"/>
          <w:sz w:val="22"/>
          <w:u w:val="single" w:color="767070"/>
        </w:rPr>
        <w:t>Support a fully open and transparent cadastre</w:t>
      </w:r>
      <w:r>
        <w:rPr>
          <w:color w:val="767070"/>
          <w:sz w:val="22"/>
        </w:rPr>
        <w:t>. As noted above, thus far the KCA’s Working Group has not accepted PRP’s recommendations to increase transparency of Kosovo’s cadastral records.</w:t>
      </w:r>
    </w:p>
    <w:p>
      <w:pPr>
        <w:spacing w:after="0" w:line="259" w:lineRule="auto"/>
        <w:jc w:val="left"/>
        <w:rPr>
          <w:sz w:val="22"/>
        </w:rPr>
        <w:sectPr>
          <w:pgSz w:w="11910" w:h="16840"/>
          <w:pgMar w:header="0" w:footer="720" w:top="1320" w:bottom="900" w:left="700" w:right="100"/>
        </w:sectPr>
      </w:pPr>
    </w:p>
    <w:p>
      <w:pPr>
        <w:pStyle w:val="ListParagraph"/>
        <w:numPr>
          <w:ilvl w:val="0"/>
          <w:numId w:val="1"/>
        </w:numPr>
        <w:tabs>
          <w:tab w:pos="962" w:val="left" w:leader="none"/>
        </w:tabs>
        <w:spacing w:line="259" w:lineRule="auto" w:before="80" w:after="0"/>
        <w:ind w:left="740" w:right="1567" w:firstLine="0"/>
        <w:jc w:val="left"/>
        <w:rPr>
          <w:sz w:val="22"/>
        </w:rPr>
      </w:pPr>
      <w:r>
        <w:rPr>
          <w:color w:val="767070"/>
          <w:sz w:val="22"/>
          <w:u w:val="single" w:color="767070"/>
        </w:rPr>
        <w:t>Urge municipalities to eliminate the transaction tax</w:t>
      </w:r>
      <w:r>
        <w:rPr>
          <w:color w:val="767070"/>
          <w:sz w:val="22"/>
        </w:rPr>
        <w:t>. This tax has no legal basis and creates a disincentive to registering property. While many municipalities have abolished this tax (in part owing to PRP’s advocacy), many still impose it, including Pristina. Following the meeting with PRP, the Ombudspersons Office sent a letter to all municipal administrations urging them to abolish the transaction</w:t>
      </w:r>
      <w:r>
        <w:rPr>
          <w:color w:val="767070"/>
          <w:spacing w:val="-3"/>
          <w:sz w:val="22"/>
        </w:rPr>
        <w:t> </w:t>
      </w:r>
      <w:r>
        <w:rPr>
          <w:color w:val="767070"/>
          <w:sz w:val="22"/>
        </w:rPr>
        <w:t>tax.</w:t>
      </w:r>
    </w:p>
    <w:p>
      <w:pPr>
        <w:pStyle w:val="BodyText"/>
        <w:spacing w:before="6"/>
        <w:rPr>
          <w:sz w:val="23"/>
        </w:rPr>
      </w:pPr>
    </w:p>
    <w:p>
      <w:pPr>
        <w:pStyle w:val="ListParagraph"/>
        <w:numPr>
          <w:ilvl w:val="0"/>
          <w:numId w:val="2"/>
        </w:numPr>
        <w:tabs>
          <w:tab w:pos="914" w:val="left" w:leader="none"/>
        </w:tabs>
        <w:spacing w:line="259" w:lineRule="auto" w:before="0" w:after="0"/>
        <w:ind w:left="740" w:right="1474" w:firstLine="0"/>
        <w:jc w:val="left"/>
        <w:rPr>
          <w:sz w:val="22"/>
        </w:rPr>
      </w:pPr>
      <w:r>
        <w:rPr>
          <w:color w:val="767070"/>
          <w:sz w:val="22"/>
          <w:u w:val="single" w:color="767070"/>
        </w:rPr>
        <w:t>Urge municipalities to cease conditioning the issuance of property tax certificates on the payment of property tax</w:t>
      </w:r>
      <w:r>
        <w:rPr>
          <w:color w:val="767070"/>
          <w:sz w:val="22"/>
        </w:rPr>
        <w:t>. This widespread practice is contrary to current</w:t>
      </w:r>
      <w:r>
        <w:rPr>
          <w:color w:val="767070"/>
          <w:spacing w:val="-9"/>
          <w:sz w:val="22"/>
        </w:rPr>
        <w:t> </w:t>
      </w:r>
      <w:r>
        <w:rPr>
          <w:color w:val="767070"/>
          <w:sz w:val="22"/>
        </w:rPr>
        <w:t>law.</w:t>
      </w:r>
    </w:p>
    <w:p>
      <w:pPr>
        <w:pStyle w:val="BodyText"/>
        <w:rPr>
          <w:sz w:val="15"/>
        </w:rPr>
      </w:pPr>
    </w:p>
    <w:p>
      <w:pPr>
        <w:pStyle w:val="ListParagraph"/>
        <w:numPr>
          <w:ilvl w:val="0"/>
          <w:numId w:val="2"/>
        </w:numPr>
        <w:tabs>
          <w:tab w:pos="914" w:val="left" w:leader="none"/>
        </w:tabs>
        <w:spacing w:line="259" w:lineRule="auto" w:before="101" w:after="0"/>
        <w:ind w:left="740" w:right="1342" w:firstLine="0"/>
        <w:jc w:val="left"/>
        <w:rPr>
          <w:sz w:val="22"/>
        </w:rPr>
      </w:pPr>
      <w:r>
        <w:rPr>
          <w:color w:val="767070"/>
          <w:sz w:val="22"/>
          <w:u w:val="single" w:color="767070"/>
        </w:rPr>
        <w:t>Amend the Law on Anti-Money Laundering to exempt transactions occurring before 2005 from the requirement that they be effected by bank transfer</w:t>
      </w:r>
      <w:r>
        <w:rPr>
          <w:color w:val="767070"/>
          <w:sz w:val="22"/>
        </w:rPr>
        <w:t>. This requirement makes it very difficult for citizens to formalize informal transactions that have been concluded in the past. In effect the citizens are forced to “re-enact” the transaction with the original buyer and seller and a repeated exchange of payment. This is often simply not</w:t>
      </w:r>
      <w:r>
        <w:rPr>
          <w:color w:val="767070"/>
          <w:spacing w:val="-7"/>
          <w:sz w:val="22"/>
        </w:rPr>
        <w:t> </w:t>
      </w:r>
      <w:r>
        <w:rPr>
          <w:color w:val="767070"/>
          <w:sz w:val="22"/>
        </w:rPr>
        <w:t>possible.</w:t>
      </w:r>
    </w:p>
    <w:p>
      <w:pPr>
        <w:pStyle w:val="BodyText"/>
        <w:spacing w:before="10"/>
        <w:rPr>
          <w:sz w:val="23"/>
        </w:rPr>
      </w:pPr>
    </w:p>
    <w:p>
      <w:pPr>
        <w:pStyle w:val="BodyText"/>
        <w:spacing w:line="259" w:lineRule="auto"/>
        <w:ind w:left="740" w:right="1457"/>
      </w:pPr>
      <w:r>
        <w:rPr>
          <w:b/>
          <w:color w:val="767070"/>
        </w:rPr>
        <w:t>Quarterly USAID Rule of Law Meeting</w:t>
      </w:r>
      <w:r>
        <w:rPr>
          <w:color w:val="767070"/>
        </w:rPr>
        <w:t>. PRP attended this meeting, which was devoted to mediation. It was noted that, with the passage of the Law on Mediation, areas where PRP could assist implementation, include providing training to mediators on property rights law and on gender sensitivity.</w:t>
      </w:r>
    </w:p>
    <w:p>
      <w:pPr>
        <w:pStyle w:val="BodyText"/>
        <w:spacing w:before="10"/>
        <w:rPr>
          <w:sz w:val="20"/>
        </w:rPr>
      </w:pPr>
      <w:r>
        <w:rPr/>
        <w:pict>
          <v:shape style="position:absolute;margin-left:72pt;margin-top:14.490439pt;width:453.6pt;height:173.85pt;mso-position-horizontal-relative:page;mso-position-vertical-relative:paragraph;z-index:-616;mso-wrap-distance-left:0;mso-wrap-distance-right:0" type="#_x0000_t202" filled="true" fillcolor="#b90c2e" stroked="true" strokeweight=".75pt" strokecolor="#c21139">
            <v:textbox inset="0,0,0,0">
              <w:txbxContent>
                <w:p>
                  <w:pPr>
                    <w:spacing w:before="52"/>
                    <w:ind w:left="144" w:right="0" w:firstLine="0"/>
                    <w:jc w:val="left"/>
                    <w:rPr>
                      <w:b/>
                      <w:i/>
                      <w:sz w:val="20"/>
                    </w:rPr>
                  </w:pPr>
                  <w:r>
                    <w:rPr>
                      <w:b/>
                      <w:i/>
                      <w:color w:val="FFFFFF"/>
                      <w:sz w:val="20"/>
                      <w:u w:val="single" w:color="FFFFFF"/>
                    </w:rPr>
                    <w:t>Encouraging Public Outreach and Promoting Media Coverage of Property Rights Issues</w:t>
                  </w:r>
                </w:p>
                <w:p>
                  <w:pPr>
                    <w:pStyle w:val="BodyText"/>
                    <w:spacing w:before="9"/>
                    <w:rPr>
                      <w:sz w:val="19"/>
                    </w:rPr>
                  </w:pPr>
                </w:p>
                <w:p>
                  <w:pPr>
                    <w:spacing w:line="259" w:lineRule="auto" w:before="0"/>
                    <w:ind w:left="144" w:right="214" w:firstLine="0"/>
                    <w:jc w:val="left"/>
                    <w:rPr>
                      <w:b/>
                      <w:sz w:val="22"/>
                    </w:rPr>
                  </w:pPr>
                  <w:r>
                    <w:rPr>
                      <w:b/>
                      <w:color w:val="FFFFFF"/>
                      <w:sz w:val="22"/>
                    </w:rPr>
                    <w:t>Following its approval of the KPCVA Law, the Government issued a press statement that reads as follows:</w:t>
                  </w:r>
                </w:p>
                <w:p>
                  <w:pPr>
                    <w:pStyle w:val="BodyText"/>
                    <w:spacing w:before="9"/>
                    <w:rPr>
                      <w:sz w:val="25"/>
                    </w:rPr>
                  </w:pPr>
                </w:p>
                <w:p>
                  <w:pPr>
                    <w:spacing w:line="264" w:lineRule="auto" w:before="0"/>
                    <w:ind w:left="144" w:right="246" w:firstLine="0"/>
                    <w:jc w:val="left"/>
                    <w:rPr>
                      <w:i/>
                      <w:sz w:val="22"/>
                    </w:rPr>
                  </w:pPr>
                  <w:r>
                    <w:rPr>
                      <w:i/>
                      <w:color w:val="FFFFFF"/>
                      <w:sz w:val="22"/>
                    </w:rPr>
                    <w:t>“The Draft Law on Amending and Supplementing the Law on the Kosovo Property Comparison and </w:t>
                  </w:r>
                  <w:r>
                    <w:rPr>
                      <w:i/>
                      <w:color w:val="FFFFFF"/>
                      <w:sz w:val="22"/>
                    </w:rPr>
                    <w:t>Verification Agency has been approved by the Government at today’s meeting. The draft law was drafted in order to address the findings of the Ombudsperson and fulfilment of the obligations deriving from the National Strategy on Property Rights for the purpose of addressing large-scale informality.”</w:t>
                  </w:r>
                </w:p>
                <w:p>
                  <w:pPr>
                    <w:pStyle w:val="BodyText"/>
                    <w:spacing w:before="214"/>
                    <w:ind w:left="144"/>
                  </w:pPr>
                  <w:hyperlink r:id="rId16">
                    <w:r>
                      <w:rPr>
                        <w:color w:val="FFFFFF"/>
                        <w:u w:val="single" w:color="FFFFFF"/>
                      </w:rPr>
                      <w:t>http://kryeministri-ks.net/en/government-of-kosovo-approved-the-draft-law-on-salaries/</w:t>
                    </w:r>
                  </w:hyperlink>
                </w:p>
              </w:txbxContent>
            </v:textbox>
            <v:fill type="solid"/>
            <v:stroke dashstyle="solid"/>
            <w10:wrap type="topAndBottom"/>
          </v:shape>
        </w:pict>
      </w:r>
    </w:p>
    <w:p>
      <w:pPr>
        <w:pStyle w:val="BodyText"/>
        <w:rPr>
          <w:sz w:val="26"/>
        </w:rPr>
      </w:pPr>
    </w:p>
    <w:p>
      <w:pPr>
        <w:pStyle w:val="BodyText"/>
        <w:rPr>
          <w:sz w:val="26"/>
        </w:rPr>
      </w:pPr>
    </w:p>
    <w:p>
      <w:pPr>
        <w:pStyle w:val="Heading4"/>
        <w:spacing w:line="242" w:lineRule="auto" w:before="164"/>
        <w:ind w:right="5412"/>
      </w:pPr>
      <w:r>
        <w:rPr/>
        <w:drawing>
          <wp:anchor distT="0" distB="0" distL="0" distR="0" allowOverlap="1" layoutInCell="1" locked="0" behindDoc="0" simplePos="0" relativeHeight="1456">
            <wp:simplePos x="0" y="0"/>
            <wp:positionH relativeFrom="page">
              <wp:posOffset>4615179</wp:posOffset>
            </wp:positionH>
            <wp:positionV relativeFrom="paragraph">
              <wp:posOffset>-8757</wp:posOffset>
            </wp:positionV>
            <wp:extent cx="2060575" cy="1673225"/>
            <wp:effectExtent l="0" t="0" r="0" b="0"/>
            <wp:wrapNone/>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7" cstate="print"/>
                    <a:stretch>
                      <a:fillRect/>
                    </a:stretch>
                  </pic:blipFill>
                  <pic:spPr>
                    <a:xfrm>
                      <a:off x="0" y="0"/>
                      <a:ext cx="2060575" cy="1673225"/>
                    </a:xfrm>
                    <a:prstGeom prst="rect">
                      <a:avLst/>
                    </a:prstGeom>
                  </pic:spPr>
                </pic:pic>
              </a:graphicData>
            </a:graphic>
          </wp:anchor>
        </w:drawing>
      </w:r>
      <w:r>
        <w:rPr>
          <w:color w:val="C00000"/>
        </w:rPr>
        <w:t>Publish Albanian Language Translation of European Valuation Standards</w:t>
      </w:r>
    </w:p>
    <w:p>
      <w:pPr>
        <w:pStyle w:val="BodyText"/>
        <w:spacing w:line="259" w:lineRule="auto" w:before="241"/>
        <w:ind w:left="740" w:right="4715"/>
      </w:pPr>
      <w:r>
        <w:rPr>
          <w:color w:val="767070"/>
        </w:rPr>
        <w:t>PRP published the document and will l distribute copies to appraisers, judges, lawyers, notaries and relevant officials. PRP will also seek to have digital version the document posted in the web pages of the Kosovo Association of Appraisers and other institutions.</w:t>
      </w:r>
    </w:p>
    <w:p>
      <w:pPr>
        <w:spacing w:after="0" w:line="259" w:lineRule="auto"/>
        <w:sectPr>
          <w:pgSz w:w="11910" w:h="16840"/>
          <w:pgMar w:header="0" w:footer="720" w:top="1320" w:bottom="900" w:left="700" w:right="100"/>
        </w:sectPr>
      </w:pPr>
    </w:p>
    <w:p>
      <w:pPr>
        <w:pStyle w:val="Heading5"/>
        <w:spacing w:before="86"/>
      </w:pPr>
      <w:bookmarkStart w:name="_bookmark11" w:id="12"/>
      <w:bookmarkEnd w:id="12"/>
      <w:r>
        <w:rPr>
          <w:b w:val="0"/>
        </w:rPr>
      </w:r>
      <w:r>
        <w:rPr/>
        <w:t>OBJECTIVE 2: IMPROVED COURT PROCESS RELATED TO PROPERTY</w:t>
      </w:r>
      <w:r>
        <w:rPr>
          <w:spacing w:val="-30"/>
        </w:rPr>
        <w:t> </w:t>
      </w:r>
      <w:r>
        <w:rPr/>
        <w:t>CLAIMS</w:t>
      </w:r>
    </w:p>
    <w:p>
      <w:pPr>
        <w:pStyle w:val="BodyText"/>
        <w:spacing w:before="7"/>
        <w:rPr>
          <w:b/>
          <w:sz w:val="30"/>
        </w:rPr>
      </w:pPr>
    </w:p>
    <w:p>
      <w:pPr>
        <w:spacing w:before="0"/>
        <w:ind w:left="740" w:right="0" w:firstLine="0"/>
        <w:jc w:val="left"/>
        <w:rPr>
          <w:sz w:val="24"/>
        </w:rPr>
      </w:pPr>
      <w:bookmarkStart w:name="_bookmark12" w:id="13"/>
      <w:bookmarkEnd w:id="13"/>
      <w:r>
        <w:rPr/>
      </w:r>
      <w:r>
        <w:rPr>
          <w:color w:val="C00000"/>
          <w:sz w:val="24"/>
        </w:rPr>
        <w:t>SUB-OBJECTIVE 2.1: CASE FLOW MANAGEMENT REFORMS</w:t>
      </w:r>
      <w:r>
        <w:rPr>
          <w:color w:val="C00000"/>
          <w:spacing w:val="-9"/>
          <w:sz w:val="24"/>
        </w:rPr>
        <w:t> </w:t>
      </w:r>
      <w:r>
        <w:rPr>
          <w:color w:val="C00000"/>
          <w:sz w:val="24"/>
        </w:rPr>
        <w:t>INSTITUTIONALIZED</w:t>
      </w:r>
    </w:p>
    <w:p>
      <w:pPr>
        <w:pStyle w:val="BodyText"/>
        <w:spacing w:line="259" w:lineRule="auto" w:before="125"/>
        <w:ind w:left="740" w:right="1334"/>
      </w:pPr>
      <w:r>
        <w:rPr>
          <w:b/>
          <w:color w:val="767070"/>
        </w:rPr>
        <w:t>Continuing Support for Improved CFM of Property Cases in CoMs. </w:t>
      </w:r>
      <w:r>
        <w:rPr>
          <w:color w:val="767070"/>
        </w:rPr>
        <w:t>The Peje Basic Court has permanently hired LAs to carry out the functions defined in PRP’s CFM assessments to improve court efficiency. The hired LAs were previously trained and seconded to the court by PRP. The LAs contribution to court efficiency was recognized by the court and the KJC and the position will now become permanent with state funding. The Ferizaj/Urosevac Basic Court also completed its recruitment process and selected LAs that were seconded to the court by PRP. Its decision has been appealed and the process is on-going. PRP expects a final outcome in November 2018.</w:t>
      </w:r>
    </w:p>
    <w:p>
      <w:pPr>
        <w:pStyle w:val="BodyText"/>
        <w:spacing w:before="6"/>
        <w:rPr>
          <w:sz w:val="20"/>
        </w:rPr>
      </w:pPr>
    </w:p>
    <w:p>
      <w:pPr>
        <w:pStyle w:val="BodyText"/>
        <w:spacing w:line="259" w:lineRule="auto"/>
        <w:ind w:left="740" w:right="1826"/>
      </w:pPr>
      <w:r>
        <w:rPr>
          <w:color w:val="767070"/>
        </w:rPr>
        <w:t>The Gjilan/Gnjilane Basic Court has not yet commenced its hiring process. PRP will continue to second LAs to the court until it completes the hiring process.</w:t>
      </w:r>
    </w:p>
    <w:p>
      <w:pPr>
        <w:pStyle w:val="BodyText"/>
        <w:spacing w:before="9"/>
        <w:rPr>
          <w:sz w:val="20"/>
        </w:rPr>
      </w:pPr>
    </w:p>
    <w:p>
      <w:pPr>
        <w:pStyle w:val="Heading5"/>
        <w:spacing w:before="1"/>
      </w:pPr>
      <w:r>
        <w:rPr>
          <w:color w:val="767070"/>
        </w:rPr>
        <w:t>Improved CFM Practices Continue to Produce Positive Results.</w:t>
      </w:r>
    </w:p>
    <w:p>
      <w:pPr>
        <w:pStyle w:val="BodyText"/>
        <w:spacing w:before="5"/>
        <w:rPr>
          <w:b/>
        </w:rPr>
      </w:pPr>
    </w:p>
    <w:p>
      <w:pPr>
        <w:pStyle w:val="BodyText"/>
        <w:spacing w:line="259" w:lineRule="auto"/>
        <w:ind w:left="740" w:right="1741"/>
      </w:pPr>
      <w:r>
        <w:rPr>
          <w:color w:val="767070"/>
        </w:rPr>
        <w:t>Since mid-December 2016, judges in the CoM, with PRP assistance, have issued a total of 10,625 decisions. Of these, 2,059 were to dispose the case, and 8,566 advanced the case more quickly towards disposition.</w:t>
      </w:r>
    </w:p>
    <w:p>
      <w:pPr>
        <w:pStyle w:val="BodyText"/>
        <w:spacing w:before="7"/>
        <w:rPr>
          <w:sz w:val="20"/>
        </w:rPr>
      </w:pPr>
    </w:p>
    <w:p>
      <w:pPr>
        <w:spacing w:line="259" w:lineRule="auto" w:before="0"/>
        <w:ind w:left="740" w:right="1452" w:firstLine="0"/>
        <w:jc w:val="both"/>
        <w:rPr>
          <w:sz w:val="22"/>
        </w:rPr>
      </w:pPr>
      <w:r>
        <w:rPr>
          <w:b/>
          <w:color w:val="767070"/>
          <w:sz w:val="22"/>
        </w:rPr>
        <w:t>Dissemination of Decisions of Court of Appeals</w:t>
      </w:r>
      <w:r>
        <w:rPr>
          <w:b/>
          <w:i/>
          <w:color w:val="767070"/>
          <w:sz w:val="22"/>
        </w:rPr>
        <w:t>. </w:t>
      </w:r>
      <w:r>
        <w:rPr>
          <w:color w:val="767070"/>
          <w:sz w:val="22"/>
        </w:rPr>
        <w:t>PRP continued to distribute the decisions to the CoM. Judges reported the four or five decisions each week are helpful to developing consistent practice.</w:t>
      </w:r>
    </w:p>
    <w:p>
      <w:pPr>
        <w:pStyle w:val="BodyText"/>
        <w:spacing w:before="8"/>
        <w:rPr>
          <w:sz w:val="20"/>
        </w:rPr>
      </w:pPr>
    </w:p>
    <w:p>
      <w:pPr>
        <w:spacing w:line="259" w:lineRule="auto" w:before="0"/>
        <w:ind w:left="740" w:right="1534" w:firstLine="0"/>
        <w:jc w:val="left"/>
        <w:rPr>
          <w:sz w:val="22"/>
        </w:rPr>
      </w:pPr>
      <w:r>
        <w:rPr>
          <w:b/>
          <w:color w:val="767070"/>
          <w:sz w:val="22"/>
        </w:rPr>
        <w:t>Coordination with JSSP. </w:t>
      </w:r>
      <w:r>
        <w:rPr>
          <w:color w:val="767070"/>
          <w:sz w:val="22"/>
        </w:rPr>
        <w:t>PRP and JSSP continued their coordination in connection with the following initiatives:</w:t>
      </w:r>
    </w:p>
    <w:p>
      <w:pPr>
        <w:pStyle w:val="BodyText"/>
        <w:spacing w:before="6"/>
        <w:rPr>
          <w:sz w:val="20"/>
        </w:rPr>
      </w:pPr>
    </w:p>
    <w:p>
      <w:pPr>
        <w:pStyle w:val="BodyText"/>
        <w:spacing w:line="259" w:lineRule="auto"/>
        <w:ind w:left="740" w:right="1448"/>
      </w:pPr>
      <w:r>
        <w:rPr>
          <w:color w:val="767070"/>
          <w:u w:val="single" w:color="767070"/>
        </w:rPr>
        <w:t>Joint Publication of Guide for Courts on Civil Practice</w:t>
      </w:r>
      <w:r>
        <w:rPr>
          <w:color w:val="767070"/>
        </w:rPr>
        <w:t>. The joint publication will combine JSSP’s </w:t>
      </w:r>
      <w:r>
        <w:rPr>
          <w:i/>
          <w:color w:val="767070"/>
        </w:rPr>
        <w:t>Bench Book </w:t>
      </w:r>
      <w:r>
        <w:rPr>
          <w:color w:val="767070"/>
        </w:rPr>
        <w:t>with PRP’s </w:t>
      </w:r>
      <w:r>
        <w:rPr>
          <w:i/>
          <w:color w:val="767070"/>
        </w:rPr>
        <w:t>Practical Guide on the Adjudication of Property Rights Cases in Kosovo. </w:t>
      </w:r>
      <w:r>
        <w:rPr>
          <w:color w:val="767070"/>
        </w:rPr>
        <w:t>JSSP’s sub- contractor produced the first draft of the joint publication, and PRP commenced its review of the draft. The judges authoring the Bench Book expressed great satisfaction with the draft document that now contains more practical guidance for judges to resolve property rights cases which, research shows, pose the most challenges for Kosovo courts. PRP and JSSP have begun discussions to agree sharing the costs of production and publication. PRP expects that it will be published in January 2018.</w:t>
      </w:r>
    </w:p>
    <w:p>
      <w:pPr>
        <w:pStyle w:val="BodyText"/>
        <w:spacing w:before="8"/>
        <w:rPr>
          <w:sz w:val="20"/>
        </w:rPr>
      </w:pPr>
    </w:p>
    <w:p>
      <w:pPr>
        <w:pStyle w:val="BodyText"/>
        <w:spacing w:line="259" w:lineRule="auto"/>
        <w:ind w:left="740" w:right="1534"/>
      </w:pPr>
      <w:r>
        <w:rPr>
          <w:color w:val="767070"/>
          <w:u w:val="single" w:color="767070"/>
        </w:rPr>
        <w:t>Training Module on Caseflow Management</w:t>
      </w:r>
      <w:r>
        <w:rPr>
          <w:color w:val="767070"/>
        </w:rPr>
        <w:t>. JSSP’s STTA expert who is developing the project’s training module on CFM met with PRP and was provided with PRPs assessments and reports documenting the CFM support PRP has provided the CoMs.</w:t>
      </w:r>
    </w:p>
    <w:p>
      <w:pPr>
        <w:pStyle w:val="BodyText"/>
        <w:spacing w:before="3"/>
        <w:rPr>
          <w:sz w:val="20"/>
        </w:rPr>
      </w:pPr>
    </w:p>
    <w:p>
      <w:pPr>
        <w:pStyle w:val="Heading4"/>
        <w:spacing w:line="259" w:lineRule="auto"/>
        <w:ind w:right="1886"/>
      </w:pPr>
      <w:bookmarkStart w:name="_bookmark13" w:id="14"/>
      <w:bookmarkEnd w:id="14"/>
      <w:r>
        <w:rPr/>
      </w:r>
      <w:r>
        <w:rPr>
          <w:color w:val="C00000"/>
        </w:rPr>
        <w:t>SUB-OBJECTIVE 2.2: GUIDELINES DEVELOPED TO UNIFY JUDICIAL PRACTICE IN PROPERTY RIGHTS DISPUTES</w:t>
      </w:r>
    </w:p>
    <w:p>
      <w:pPr>
        <w:spacing w:line="264" w:lineRule="auto" w:before="147"/>
        <w:ind w:left="740" w:right="1429" w:firstLine="0"/>
        <w:jc w:val="left"/>
        <w:rPr>
          <w:sz w:val="22"/>
        </w:rPr>
      </w:pPr>
      <w:r>
        <w:rPr>
          <w:b/>
          <w:color w:val="767070"/>
          <w:sz w:val="22"/>
        </w:rPr>
        <w:t>Collaboration with the Supreme Court to Develop Guidelines. </w:t>
      </w:r>
      <w:r>
        <w:rPr>
          <w:color w:val="767070"/>
          <w:sz w:val="22"/>
        </w:rPr>
        <w:t>In the course of its extensive research of the CoM’s processing of property rights cases, PRP identified a number of areas where the courts’ practice is inconsistent, contradictory, and unclear – principally as concerns</w:t>
      </w:r>
    </w:p>
    <w:p>
      <w:pPr>
        <w:pStyle w:val="BodyText"/>
        <w:spacing w:line="253" w:lineRule="exact"/>
        <w:ind w:left="740"/>
      </w:pPr>
      <w:r>
        <w:rPr>
          <w:color w:val="767070"/>
        </w:rPr>
        <w:t>(1) the acquisition of rights based on positive prescription; (2) the acquisition of rights based on sale;</w:t>
      </w:r>
    </w:p>
    <w:p>
      <w:pPr>
        <w:pStyle w:val="BodyText"/>
        <w:spacing w:line="264" w:lineRule="auto" w:before="26"/>
        <w:ind w:left="740" w:right="1473"/>
        <w:jc w:val="both"/>
      </w:pPr>
      <w:r>
        <w:rPr>
          <w:color w:val="767070"/>
        </w:rPr>
        <w:t>(3) the acquisition of rights based on inheritance; (4) the division of joint property (particularly as it impacts the rights of women in inheritance and divorce cases); (5) the acquisition of rights based on co-ownership; (6) the obstruction of possession; and (7) easements.</w:t>
      </w:r>
    </w:p>
    <w:p>
      <w:pPr>
        <w:spacing w:after="0" w:line="264" w:lineRule="auto"/>
        <w:jc w:val="both"/>
        <w:sectPr>
          <w:pgSz w:w="11910" w:h="16840"/>
          <w:pgMar w:header="0" w:footer="720" w:top="1340" w:bottom="900" w:left="700" w:right="100"/>
        </w:sectPr>
      </w:pPr>
    </w:p>
    <w:p>
      <w:pPr>
        <w:pStyle w:val="BodyText"/>
        <w:spacing w:line="264" w:lineRule="auto" w:before="84"/>
        <w:ind w:left="740" w:right="1362"/>
      </w:pPr>
      <w:r>
        <w:rPr>
          <w:color w:val="767070"/>
        </w:rPr>
        <w:t>PRP is collaborating with the Supreme Court to develop guidelines for the lower courts to accurately and consistently resolve problematic issues in property rights adjudication. The development of uniform judicial practice in property rights will help courts adjudicate property cases more effectively and provide citizens with consistent and predictable outcomes to property</w:t>
      </w:r>
      <w:r>
        <w:rPr>
          <w:color w:val="767070"/>
          <w:spacing w:val="-33"/>
        </w:rPr>
        <w:t> </w:t>
      </w:r>
      <w:r>
        <w:rPr>
          <w:color w:val="767070"/>
        </w:rPr>
        <w:t>disputes.</w:t>
      </w:r>
    </w:p>
    <w:p>
      <w:pPr>
        <w:pStyle w:val="BodyText"/>
        <w:spacing w:before="6"/>
        <w:rPr>
          <w:sz w:val="20"/>
        </w:rPr>
      </w:pPr>
    </w:p>
    <w:p>
      <w:pPr>
        <w:pStyle w:val="BodyText"/>
        <w:spacing w:line="261" w:lineRule="auto"/>
        <w:ind w:left="740" w:right="1683"/>
      </w:pPr>
      <w:r>
        <w:rPr>
          <w:color w:val="767070"/>
        </w:rPr>
        <w:t>Four judges have been hired to carry out this work – three Supreme Court judges and one judge from the Court of Appeals.</w:t>
      </w:r>
    </w:p>
    <w:p>
      <w:pPr>
        <w:pStyle w:val="BodyText"/>
        <w:spacing w:before="11"/>
        <w:rPr>
          <w:sz w:val="20"/>
        </w:rPr>
      </w:pPr>
    </w:p>
    <w:p>
      <w:pPr>
        <w:pStyle w:val="BodyText"/>
        <w:spacing w:line="264" w:lineRule="auto"/>
        <w:ind w:left="740" w:right="1469"/>
      </w:pPr>
      <w:r>
        <w:rPr>
          <w:color w:val="767070"/>
        </w:rPr>
        <w:t>PRP conducted preliminary review of 900 cases in the Supreme Court archives that concern property rights. Of those, PRP selected 139 that bear on the eight types of property rights cases where PRP has identified that judicial practice in unclear and inconsistent. It is expected that the judges will further select most relevant cases and produce summaries to accompany the guidelines. PRP also contracted four Legal Assistants, in consultation with the judges, who will assist the judges to conduct research, draft the case summaries, and provide other assistance.</w:t>
      </w:r>
    </w:p>
    <w:p>
      <w:pPr>
        <w:pStyle w:val="BodyText"/>
        <w:spacing w:before="5"/>
        <w:rPr>
          <w:sz w:val="20"/>
        </w:rPr>
      </w:pPr>
    </w:p>
    <w:p>
      <w:pPr>
        <w:pStyle w:val="BodyText"/>
        <w:spacing w:line="264" w:lineRule="auto"/>
        <w:ind w:left="740" w:right="1332"/>
      </w:pPr>
      <w:r>
        <w:rPr>
          <w:color w:val="767070"/>
        </w:rPr>
        <w:t>PRP will support the publication of the guidelines in hard copy and digital formats and will distribute them to judges in all courts. Once the guidelines have been published, PRP will support workshops led by the Supreme Court for judges from the lower courts to acquaint them with the guidelines and foster their understanding and acceptance of the guidelines.</w:t>
      </w:r>
    </w:p>
    <w:p>
      <w:pPr>
        <w:pStyle w:val="BodyText"/>
        <w:spacing w:line="259" w:lineRule="auto" w:before="214"/>
        <w:ind w:left="3981" w:right="1339"/>
      </w:pPr>
      <w:r>
        <w:rPr/>
        <w:pict>
          <v:shape style="position:absolute;margin-left:72pt;margin-top:22.061182pt;width:151.2pt;height:139.8pt;mso-position-horizontal-relative:page;mso-position-vertical-relative:paragraph;z-index:1480" type="#_x0000_t202" filled="true" fillcolor="#b90c2e" stroked="true" strokeweight=".75pt" strokecolor="#c21139">
            <v:textbox inset="0,0,0,0">
              <w:txbxContent>
                <w:p>
                  <w:pPr>
                    <w:spacing w:before="52"/>
                    <w:ind w:left="144" w:right="129" w:firstLine="0"/>
                    <w:jc w:val="left"/>
                    <w:rPr>
                      <w:b/>
                      <w:sz w:val="20"/>
                    </w:rPr>
                  </w:pPr>
                  <w:r>
                    <w:rPr>
                      <w:b/>
                      <w:color w:val="FFFFFF"/>
                      <w:sz w:val="20"/>
                    </w:rPr>
                    <w:t>PRP Products to Assist Judges</w:t>
                  </w:r>
                </w:p>
                <w:p>
                  <w:pPr>
                    <w:pStyle w:val="BodyText"/>
                    <w:spacing w:before="2"/>
                    <w:rPr>
                      <w:sz w:val="20"/>
                    </w:rPr>
                  </w:pPr>
                </w:p>
                <w:p>
                  <w:pPr>
                    <w:numPr>
                      <w:ilvl w:val="0"/>
                      <w:numId w:val="3"/>
                    </w:numPr>
                    <w:tabs>
                      <w:tab w:pos="504" w:val="left" w:leader="none"/>
                      <w:tab w:pos="505" w:val="left" w:leader="none"/>
                    </w:tabs>
                    <w:spacing w:before="0"/>
                    <w:ind w:left="504" w:right="175" w:hanging="360"/>
                    <w:jc w:val="left"/>
                    <w:rPr>
                      <w:i/>
                      <w:sz w:val="20"/>
                    </w:rPr>
                  </w:pPr>
                  <w:r>
                    <w:rPr>
                      <w:i/>
                      <w:color w:val="FFFFFF"/>
                      <w:sz w:val="20"/>
                    </w:rPr>
                    <w:t>A Practical Guide for</w:t>
                  </w:r>
                  <w:r>
                    <w:rPr>
                      <w:i/>
                      <w:color w:val="FFFFFF"/>
                      <w:spacing w:val="-17"/>
                      <w:sz w:val="20"/>
                    </w:rPr>
                    <w:t> </w:t>
                  </w:r>
                  <w:r>
                    <w:rPr>
                      <w:i/>
                      <w:color w:val="FFFFFF"/>
                      <w:sz w:val="20"/>
                    </w:rPr>
                    <w:t>Improving </w:t>
                  </w:r>
                  <w:r>
                    <w:rPr>
                      <w:i/>
                      <w:color w:val="FFFFFF"/>
                      <w:sz w:val="20"/>
                    </w:rPr>
                    <w:t>Caseflow Management of Property Rights Cases and Other Civil</w:t>
                  </w:r>
                  <w:r>
                    <w:rPr>
                      <w:i/>
                      <w:color w:val="FFFFFF"/>
                      <w:spacing w:val="-2"/>
                      <w:sz w:val="20"/>
                    </w:rPr>
                    <w:t> </w:t>
                  </w:r>
                  <w:r>
                    <w:rPr>
                      <w:i/>
                      <w:color w:val="FFFFFF"/>
                      <w:sz w:val="20"/>
                    </w:rPr>
                    <w:t>Cases</w:t>
                  </w:r>
                </w:p>
                <w:p>
                  <w:pPr>
                    <w:pStyle w:val="BodyText"/>
                    <w:spacing w:before="11"/>
                    <w:rPr>
                      <w:sz w:val="19"/>
                    </w:rPr>
                  </w:pPr>
                </w:p>
                <w:p>
                  <w:pPr>
                    <w:numPr>
                      <w:ilvl w:val="0"/>
                      <w:numId w:val="3"/>
                    </w:numPr>
                    <w:tabs>
                      <w:tab w:pos="504" w:val="left" w:leader="none"/>
                      <w:tab w:pos="505" w:val="left" w:leader="none"/>
                    </w:tabs>
                    <w:spacing w:line="261" w:lineRule="auto" w:before="0"/>
                    <w:ind w:left="504" w:right="250" w:hanging="360"/>
                    <w:jc w:val="left"/>
                    <w:rPr>
                      <w:i/>
                      <w:sz w:val="20"/>
                    </w:rPr>
                  </w:pPr>
                  <w:r>
                    <w:rPr>
                      <w:i/>
                      <w:color w:val="FFFFFF"/>
                      <w:sz w:val="20"/>
                    </w:rPr>
                    <w:t>Collection of ECHR Case </w:t>
                  </w:r>
                  <w:r>
                    <w:rPr>
                      <w:i/>
                      <w:color w:val="FFFFFF"/>
                      <w:sz w:val="20"/>
                    </w:rPr>
                    <w:t>Summaries on Property</w:t>
                  </w:r>
                  <w:r>
                    <w:rPr>
                      <w:i/>
                      <w:color w:val="FFFFFF"/>
                      <w:spacing w:val="-15"/>
                      <w:sz w:val="20"/>
                    </w:rPr>
                    <w:t> </w:t>
                  </w:r>
                  <w:r>
                    <w:rPr>
                      <w:i/>
                      <w:color w:val="FFFFFF"/>
                      <w:sz w:val="20"/>
                    </w:rPr>
                    <w:t>Rights Issues</w:t>
                  </w:r>
                </w:p>
              </w:txbxContent>
            </v:textbox>
            <v:fill type="solid"/>
            <v:stroke dashstyle="solid"/>
            <w10:wrap type="none"/>
          </v:shape>
        </w:pict>
      </w:r>
      <w:r>
        <w:rPr>
          <w:b/>
          <w:color w:val="767070"/>
        </w:rPr>
        <w:t>ECHR Case Summaries Produced and Published</w:t>
      </w:r>
      <w:r>
        <w:rPr>
          <w:color w:val="767070"/>
        </w:rPr>
        <w:t>. By operation of the Kosovo Constitution, the European Convention on Human Rights is directly applicable in Kosovo, as are decisions of the European Court of Human Rights. Yet, because most ECHR decisions issued in French and English languages, many Kosovo policymakers, judges and legal professionals do not have ready access to the Court’s decisions. To help address this situation, PRP produced 144 summaries of the Courts’ decisions and translated them into the Albanian and Serbian languages. The case summaries were drafted by 16 law students-interns who are working under the close supervision</w:t>
      </w:r>
      <w:r>
        <w:rPr>
          <w:color w:val="767070"/>
          <w:spacing w:val="-21"/>
        </w:rPr>
        <w:t> </w:t>
      </w:r>
      <w:r>
        <w:rPr>
          <w:color w:val="767070"/>
        </w:rPr>
        <w:t>of</w:t>
      </w:r>
    </w:p>
    <w:p>
      <w:pPr>
        <w:pStyle w:val="BodyText"/>
        <w:spacing w:line="253" w:lineRule="exact"/>
        <w:ind w:left="740"/>
      </w:pPr>
      <w:r>
        <w:rPr>
          <w:color w:val="767070"/>
        </w:rPr>
        <w:t>three Kosovo law experts. The case summaries are organized around the following categories:</w:t>
      </w:r>
    </w:p>
    <w:p>
      <w:pPr>
        <w:pStyle w:val="BodyText"/>
        <w:spacing w:before="11"/>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Expropriation; Nationalization;</w:t>
      </w:r>
      <w:r>
        <w:rPr>
          <w:color w:val="6C6362"/>
          <w:spacing w:val="-2"/>
          <w:sz w:val="22"/>
        </w:rPr>
        <w:t> </w:t>
      </w:r>
      <w:r>
        <w:rPr>
          <w:color w:val="6C6362"/>
          <w:sz w:val="22"/>
        </w:rPr>
        <w:t>Compensation</w:t>
      </w:r>
    </w:p>
    <w:p>
      <w:pPr>
        <w:pStyle w:val="BodyText"/>
        <w:spacing w:before="5"/>
        <w:rPr>
          <w:sz w:val="21"/>
        </w:rPr>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Restoration of Ownership Rights;</w:t>
      </w:r>
      <w:r>
        <w:rPr>
          <w:color w:val="6C6362"/>
          <w:spacing w:val="-5"/>
          <w:sz w:val="22"/>
        </w:rPr>
        <w:t> </w:t>
      </w:r>
      <w:r>
        <w:rPr>
          <w:color w:val="6C6362"/>
          <w:sz w:val="22"/>
        </w:rPr>
        <w:t>Compensation</w:t>
      </w:r>
    </w:p>
    <w:p>
      <w:pPr>
        <w:pStyle w:val="BodyText"/>
        <w:spacing w:before="6"/>
        <w:rPr>
          <w:sz w:val="21"/>
        </w:rPr>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Regulation of Property; Interference with Quiet Enjoyment; State</w:t>
      </w:r>
      <w:r>
        <w:rPr>
          <w:color w:val="6C6362"/>
          <w:spacing w:val="-5"/>
          <w:sz w:val="22"/>
        </w:rPr>
        <w:t> </w:t>
      </w:r>
      <w:r>
        <w:rPr>
          <w:color w:val="6C6362"/>
          <w:sz w:val="22"/>
        </w:rPr>
        <w:t>Action</w:t>
      </w:r>
    </w:p>
    <w:p>
      <w:pPr>
        <w:pStyle w:val="BodyText"/>
        <w:spacing w:before="3"/>
        <w:rPr>
          <w:sz w:val="21"/>
        </w:rPr>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Pension Rights; Employment Benefits; War</w:t>
      </w:r>
      <w:r>
        <w:rPr>
          <w:color w:val="6C6362"/>
          <w:spacing w:val="-9"/>
          <w:sz w:val="22"/>
        </w:rPr>
        <w:t> </w:t>
      </w:r>
      <w:r>
        <w:rPr>
          <w:color w:val="6C6362"/>
          <w:sz w:val="22"/>
        </w:rPr>
        <w:t>Reparations</w:t>
      </w:r>
    </w:p>
    <w:p>
      <w:pPr>
        <w:pStyle w:val="BodyText"/>
        <w:spacing w:before="5"/>
        <w:rPr>
          <w:sz w:val="21"/>
        </w:rPr>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Contractual Relations;</w:t>
      </w:r>
      <w:r>
        <w:rPr>
          <w:color w:val="6C6362"/>
          <w:spacing w:val="-5"/>
          <w:sz w:val="22"/>
        </w:rPr>
        <w:t> </w:t>
      </w:r>
      <w:r>
        <w:rPr>
          <w:color w:val="6C6362"/>
          <w:sz w:val="22"/>
        </w:rPr>
        <w:t>Rent</w:t>
      </w:r>
    </w:p>
    <w:p>
      <w:pPr>
        <w:pStyle w:val="BodyText"/>
        <w:spacing w:before="6"/>
        <w:rPr>
          <w:sz w:val="21"/>
        </w:rPr>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Discrimination; Inheritance; Marital Property; Family</w:t>
      </w:r>
      <w:r>
        <w:rPr>
          <w:color w:val="6C6362"/>
          <w:spacing w:val="-4"/>
          <w:sz w:val="22"/>
        </w:rPr>
        <w:t> </w:t>
      </w:r>
      <w:r>
        <w:rPr>
          <w:color w:val="6C6362"/>
          <w:sz w:val="22"/>
        </w:rPr>
        <w:t>Matters</w:t>
      </w:r>
    </w:p>
    <w:p>
      <w:pPr>
        <w:pStyle w:val="BodyText"/>
        <w:spacing w:before="3"/>
        <w:rPr>
          <w:sz w:val="21"/>
        </w:rPr>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Respect for Property; Family</w:t>
      </w:r>
      <w:r>
        <w:rPr>
          <w:color w:val="6C6362"/>
          <w:spacing w:val="-5"/>
          <w:sz w:val="22"/>
        </w:rPr>
        <w:t> </w:t>
      </w:r>
      <w:r>
        <w:rPr>
          <w:color w:val="6C6362"/>
          <w:sz w:val="22"/>
        </w:rPr>
        <w:t>Life</w:t>
      </w:r>
    </w:p>
    <w:p>
      <w:pPr>
        <w:pStyle w:val="BodyText"/>
        <w:spacing w:before="5"/>
        <w:rPr>
          <w:sz w:val="21"/>
        </w:rPr>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Currency and Deposits</w:t>
      </w:r>
    </w:p>
    <w:p>
      <w:pPr>
        <w:pStyle w:val="BodyText"/>
        <w:spacing w:before="6"/>
        <w:rPr>
          <w:sz w:val="21"/>
        </w:rPr>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Failure to Enforce Judgments; Protracted Procedures; Access to Justice; Judicial</w:t>
      </w:r>
      <w:r>
        <w:rPr>
          <w:color w:val="6C6362"/>
          <w:spacing w:val="-16"/>
          <w:sz w:val="22"/>
        </w:rPr>
        <w:t> </w:t>
      </w:r>
      <w:r>
        <w:rPr>
          <w:color w:val="6C6362"/>
          <w:sz w:val="22"/>
        </w:rPr>
        <w:t>Process</w:t>
      </w:r>
    </w:p>
    <w:p>
      <w:pPr>
        <w:pStyle w:val="BodyText"/>
        <w:spacing w:before="3"/>
        <w:rPr>
          <w:sz w:val="21"/>
        </w:rPr>
      </w:pPr>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6C6362"/>
          <w:sz w:val="22"/>
        </w:rPr>
      </w:pPr>
      <w:r>
        <w:rPr>
          <w:color w:val="6C6362"/>
          <w:sz w:val="22"/>
        </w:rPr>
        <w:t>Joint Stock Companies; Reorganization; Employee</w:t>
      </w:r>
      <w:r>
        <w:rPr>
          <w:color w:val="6C6362"/>
          <w:spacing w:val="-7"/>
          <w:sz w:val="22"/>
        </w:rPr>
        <w:t> </w:t>
      </w:r>
      <w:r>
        <w:rPr>
          <w:color w:val="6C6362"/>
          <w:sz w:val="22"/>
        </w:rPr>
        <w:t>Rights</w:t>
      </w:r>
    </w:p>
    <w:p>
      <w:pPr>
        <w:spacing w:after="0" w:line="240" w:lineRule="auto"/>
        <w:jc w:val="left"/>
        <w:rPr>
          <w:rFonts w:ascii="Symbol" w:hAnsi="Symbol"/>
          <w:sz w:val="22"/>
        </w:rPr>
        <w:sectPr>
          <w:pgSz w:w="11910" w:h="16840"/>
          <w:pgMar w:header="0" w:footer="720" w:top="1340" w:bottom="900" w:left="700" w:right="100"/>
        </w:sectPr>
      </w:pPr>
    </w:p>
    <w:p>
      <w:pPr>
        <w:pStyle w:val="BodyText"/>
        <w:spacing w:line="259" w:lineRule="auto" w:before="80"/>
        <w:ind w:left="740" w:right="1418"/>
      </w:pPr>
      <w:r>
        <w:rPr/>
        <w:drawing>
          <wp:anchor distT="0" distB="0" distL="0" distR="0" allowOverlap="1" layoutInCell="1" locked="0" behindDoc="1" simplePos="0" relativeHeight="268369799">
            <wp:simplePos x="0" y="0"/>
            <wp:positionH relativeFrom="page">
              <wp:posOffset>3216910</wp:posOffset>
            </wp:positionH>
            <wp:positionV relativeFrom="paragraph">
              <wp:posOffset>478551</wp:posOffset>
            </wp:positionV>
            <wp:extent cx="3415665" cy="1788795"/>
            <wp:effectExtent l="0" t="0" r="0" b="0"/>
            <wp:wrapNone/>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8" cstate="print"/>
                    <a:stretch>
                      <a:fillRect/>
                    </a:stretch>
                  </pic:blipFill>
                  <pic:spPr>
                    <a:xfrm>
                      <a:off x="0" y="0"/>
                      <a:ext cx="3415665" cy="1788795"/>
                    </a:xfrm>
                    <a:prstGeom prst="rect">
                      <a:avLst/>
                    </a:prstGeom>
                  </pic:spPr>
                </pic:pic>
              </a:graphicData>
            </a:graphic>
          </wp:anchor>
        </w:drawing>
      </w:r>
      <w:r>
        <w:rPr>
          <w:color w:val="767070"/>
        </w:rPr>
        <w:t>PRP published the summaries and held an event to unveil them to the public. The event was held on July 31, 2018 in the Amphitheater Room at the National Library. The event was well attended by approximately 150 persons. The</w:t>
      </w:r>
    </w:p>
    <w:p>
      <w:pPr>
        <w:pStyle w:val="BodyText"/>
        <w:spacing w:line="259" w:lineRule="auto"/>
        <w:ind w:left="740" w:right="6975"/>
      </w:pPr>
      <w:r>
        <w:rPr>
          <w:color w:val="767070"/>
        </w:rPr>
        <w:t>attendees included a considerable number of judges; legal professionals; representatives of the legal department from the University of Pristina; and CSO counterparts, along with the three experts and some of the student interns who had drafted the summaries.</w:t>
      </w:r>
    </w:p>
    <w:p>
      <w:pPr>
        <w:pStyle w:val="BodyText"/>
        <w:spacing w:before="6"/>
        <w:rPr>
          <w:sz w:val="20"/>
        </w:rPr>
      </w:pPr>
    </w:p>
    <w:p>
      <w:pPr>
        <w:pStyle w:val="BodyText"/>
        <w:ind w:left="740"/>
      </w:pPr>
      <w:r>
        <w:rPr>
          <w:color w:val="767070"/>
        </w:rPr>
        <w:t>Speakers at the event included USAID</w:t>
      </w:r>
    </w:p>
    <w:p>
      <w:pPr>
        <w:pStyle w:val="BodyText"/>
        <w:spacing w:line="259" w:lineRule="auto" w:before="21"/>
        <w:ind w:left="740" w:right="1595"/>
      </w:pPr>
      <w:r>
        <w:rPr>
          <w:color w:val="767070"/>
        </w:rPr>
        <w:t>Acting Deputy Mission Director and the President of the Supreme Court. Additionally, one of the three experts gave a presentation on the methodology employed in selecting the cases and on the organization of the information presented in the publication and one of the interns shared her experience working on the case summaries.</w:t>
      </w:r>
    </w:p>
    <w:p>
      <w:pPr>
        <w:pStyle w:val="BodyText"/>
        <w:spacing w:before="5"/>
        <w:rPr>
          <w:sz w:val="20"/>
        </w:rPr>
      </w:pPr>
    </w:p>
    <w:p>
      <w:pPr>
        <w:pStyle w:val="BodyText"/>
        <w:spacing w:line="259" w:lineRule="auto"/>
        <w:ind w:left="740" w:right="1376"/>
      </w:pPr>
      <w:r>
        <w:rPr>
          <w:color w:val="767070"/>
        </w:rPr>
        <w:t>PRP distributed digital versions of the case summaries in branded USB flash drives, as well hard copies. Over 100 hard copies and flash drives were distributed. PRP will further distribute hard copies to the courts, the Kosovo Bar Association, Ministries and Agencies, municipal administrations and libraries.</w:t>
      </w:r>
    </w:p>
    <w:p>
      <w:pPr>
        <w:pStyle w:val="BodyText"/>
        <w:spacing w:before="8"/>
        <w:rPr>
          <w:sz w:val="20"/>
        </w:rPr>
      </w:pPr>
    </w:p>
    <w:p>
      <w:pPr>
        <w:pStyle w:val="BodyText"/>
        <w:spacing w:line="259" w:lineRule="auto"/>
        <w:ind w:left="740" w:right="1390"/>
      </w:pPr>
      <w:r>
        <w:rPr>
          <w:color w:val="767070"/>
        </w:rPr>
        <w:t>The Kosovo Supreme Court and Kosovo Judicial Academy have posted digital versions of the ECHR Case Summaries on their web sites, at the following links:</w:t>
      </w:r>
    </w:p>
    <w:p>
      <w:pPr>
        <w:pStyle w:val="BodyText"/>
        <w:spacing w:before="9"/>
        <w:rPr>
          <w:sz w:val="20"/>
        </w:rPr>
      </w:pPr>
    </w:p>
    <w:p>
      <w:pPr>
        <w:pStyle w:val="BodyText"/>
        <w:ind w:left="740"/>
      </w:pPr>
      <w:hyperlink r:id="rId19">
        <w:r>
          <w:rPr>
            <w:color w:val="2D74B5"/>
            <w:u w:val="single" w:color="2D74B5"/>
          </w:rPr>
          <w:t>http://jus.igjk.rks-gov.net/774/</w:t>
        </w:r>
      </w:hyperlink>
    </w:p>
    <w:p>
      <w:pPr>
        <w:pStyle w:val="BodyText"/>
        <w:spacing w:before="9"/>
        <w:rPr>
          <w:sz w:val="13"/>
        </w:rPr>
      </w:pPr>
    </w:p>
    <w:p>
      <w:pPr>
        <w:pStyle w:val="BodyText"/>
        <w:spacing w:before="101"/>
        <w:ind w:left="740"/>
      </w:pPr>
      <w:hyperlink r:id="rId20">
        <w:r>
          <w:rPr>
            <w:color w:val="2D74B5"/>
            <w:u w:val="single" w:color="2D74B5"/>
          </w:rPr>
          <w:t>http://www.gjyqesori-rks.org/sq/courts/report/list?id=1&amp;type=1</w:t>
        </w:r>
      </w:hyperlink>
    </w:p>
    <w:p>
      <w:pPr>
        <w:pStyle w:val="BodyText"/>
        <w:spacing w:before="8"/>
        <w:rPr>
          <w:sz w:val="15"/>
        </w:rPr>
      </w:pPr>
    </w:p>
    <w:p>
      <w:pPr>
        <w:pStyle w:val="Heading5"/>
        <w:spacing w:before="101"/>
        <w:rPr>
          <w:b w:val="0"/>
        </w:rPr>
      </w:pPr>
      <w:r>
        <w:rPr>
          <w:color w:val="767070"/>
        </w:rPr>
        <w:t>Development of Training Modules Commenced</w:t>
      </w:r>
      <w:r>
        <w:rPr>
          <w:b w:val="0"/>
          <w:color w:val="767070"/>
        </w:rPr>
        <w:t>.</w:t>
      </w:r>
    </w:p>
    <w:p>
      <w:pPr>
        <w:pStyle w:val="BodyText"/>
        <w:spacing w:before="10"/>
      </w:pPr>
    </w:p>
    <w:p>
      <w:pPr>
        <w:pStyle w:val="BodyText"/>
        <w:spacing w:line="264" w:lineRule="auto"/>
        <w:ind w:left="740" w:right="1522"/>
      </w:pPr>
      <w:r>
        <w:rPr>
          <w:color w:val="767070"/>
        </w:rPr>
        <w:t>PRP is collaborating closely with the Kosovo Academy of Justice (KAJ) to develop training modules on property rights issues that will be integrated into the KAJ’s formal curriculum. Subjects to be included in the training include:</w:t>
      </w:r>
    </w:p>
    <w:p>
      <w:pPr>
        <w:pStyle w:val="BodyText"/>
        <w:spacing w:before="6"/>
        <w:rPr>
          <w:sz w:val="20"/>
        </w:rPr>
      </w:pPr>
    </w:p>
    <w:p>
      <w:pPr>
        <w:pStyle w:val="BodyText"/>
        <w:spacing w:line="264" w:lineRule="auto"/>
        <w:ind w:left="740" w:right="7200"/>
      </w:pPr>
      <w:r>
        <w:rPr/>
        <w:pict>
          <v:shape style="position:absolute;margin-left:243.800003pt;margin-top:4.471196pt;width:272.95pt;height:88.3pt;mso-position-horizontal-relative:page;mso-position-vertical-relative:paragraph;z-index:1528" type="#_x0000_t202" filled="true" fillcolor="#002e6c" stroked="false">
            <v:textbox inset="0,0,0,0">
              <w:txbxContent>
                <w:p>
                  <w:pPr>
                    <w:spacing w:before="61"/>
                    <w:ind w:left="152" w:right="0" w:firstLine="0"/>
                    <w:jc w:val="left"/>
                    <w:rPr>
                      <w:b/>
                      <w:sz w:val="20"/>
                    </w:rPr>
                  </w:pPr>
                  <w:r>
                    <w:rPr>
                      <w:b/>
                      <w:color w:val="FFFFFF"/>
                      <w:sz w:val="20"/>
                    </w:rPr>
                    <w:t>PRP commenced development of training modules on:</w:t>
                  </w:r>
                </w:p>
                <w:p>
                  <w:pPr>
                    <w:pStyle w:val="BodyText"/>
                    <w:rPr>
                      <w:sz w:val="20"/>
                    </w:rPr>
                  </w:pPr>
                </w:p>
                <w:p>
                  <w:pPr>
                    <w:numPr>
                      <w:ilvl w:val="0"/>
                      <w:numId w:val="5"/>
                    </w:numPr>
                    <w:tabs>
                      <w:tab w:pos="873" w:val="left" w:leader="none"/>
                      <w:tab w:pos="874" w:val="left" w:leader="none"/>
                    </w:tabs>
                    <w:spacing w:line="268" w:lineRule="exact" w:before="0"/>
                    <w:ind w:left="873" w:right="0" w:hanging="360"/>
                    <w:jc w:val="left"/>
                    <w:rPr>
                      <w:sz w:val="20"/>
                    </w:rPr>
                  </w:pPr>
                  <w:r>
                    <w:rPr>
                      <w:color w:val="FFFFFF"/>
                      <w:sz w:val="20"/>
                    </w:rPr>
                    <w:t>Gender</w:t>
                  </w:r>
                  <w:r>
                    <w:rPr>
                      <w:color w:val="FFFFFF"/>
                      <w:spacing w:val="-1"/>
                      <w:sz w:val="20"/>
                    </w:rPr>
                    <w:t> </w:t>
                  </w:r>
                  <w:r>
                    <w:rPr>
                      <w:color w:val="FFFFFF"/>
                      <w:sz w:val="20"/>
                    </w:rPr>
                    <w:t>Sensitivity</w:t>
                  </w:r>
                </w:p>
                <w:p>
                  <w:pPr>
                    <w:numPr>
                      <w:ilvl w:val="0"/>
                      <w:numId w:val="5"/>
                    </w:numPr>
                    <w:tabs>
                      <w:tab w:pos="873" w:val="left" w:leader="none"/>
                      <w:tab w:pos="874" w:val="left" w:leader="none"/>
                    </w:tabs>
                    <w:spacing w:line="268" w:lineRule="exact" w:before="0"/>
                    <w:ind w:left="873" w:right="0" w:hanging="360"/>
                    <w:jc w:val="left"/>
                    <w:rPr>
                      <w:sz w:val="20"/>
                    </w:rPr>
                  </w:pPr>
                  <w:r>
                    <w:rPr>
                      <w:color w:val="FFFFFF"/>
                      <w:sz w:val="20"/>
                    </w:rPr>
                    <w:t>ECHR Practice in Property</w:t>
                  </w:r>
                  <w:r>
                    <w:rPr>
                      <w:color w:val="FFFFFF"/>
                      <w:spacing w:val="-3"/>
                      <w:sz w:val="20"/>
                    </w:rPr>
                    <w:t> </w:t>
                  </w:r>
                  <w:r>
                    <w:rPr>
                      <w:color w:val="FFFFFF"/>
                      <w:sz w:val="20"/>
                    </w:rPr>
                    <w:t>Rights</w:t>
                  </w:r>
                </w:p>
                <w:p>
                  <w:pPr>
                    <w:numPr>
                      <w:ilvl w:val="0"/>
                      <w:numId w:val="5"/>
                    </w:numPr>
                    <w:tabs>
                      <w:tab w:pos="873" w:val="left" w:leader="none"/>
                      <w:tab w:pos="874" w:val="left" w:leader="none"/>
                    </w:tabs>
                    <w:spacing w:before="17"/>
                    <w:ind w:left="873" w:right="0" w:hanging="360"/>
                    <w:jc w:val="left"/>
                    <w:rPr>
                      <w:sz w:val="20"/>
                    </w:rPr>
                  </w:pPr>
                  <w:r>
                    <w:rPr>
                      <w:color w:val="FFFFFF"/>
                      <w:sz w:val="20"/>
                    </w:rPr>
                    <w:t>Property Rights Issues in Kosovo Judicial</w:t>
                  </w:r>
                  <w:r>
                    <w:rPr>
                      <w:color w:val="FFFFFF"/>
                      <w:spacing w:val="-9"/>
                      <w:sz w:val="20"/>
                    </w:rPr>
                    <w:t> </w:t>
                  </w:r>
                  <w:r>
                    <w:rPr>
                      <w:color w:val="FFFFFF"/>
                      <w:sz w:val="20"/>
                    </w:rPr>
                    <w:t>Practice</w:t>
                  </w:r>
                </w:p>
              </w:txbxContent>
            </v:textbox>
            <v:fill type="solid"/>
            <w10:wrap type="none"/>
          </v:shape>
        </w:pict>
      </w:r>
      <w:r>
        <w:rPr>
          <w:color w:val="767070"/>
          <w:u w:val="single" w:color="767070"/>
        </w:rPr>
        <w:t>Gender Sensitivity</w:t>
      </w:r>
      <w:r>
        <w:rPr>
          <w:color w:val="767070"/>
        </w:rPr>
        <w:t>. The challenges that women in Kosovo face in exercising their property rights freely and fairly, on an equal basis with men, have their roots in traditional attitudes about the “proper” role of women in society.</w:t>
      </w:r>
    </w:p>
    <w:p>
      <w:pPr>
        <w:pStyle w:val="BodyText"/>
        <w:spacing w:line="264" w:lineRule="auto"/>
        <w:ind w:left="740" w:right="1370"/>
      </w:pPr>
      <w:r>
        <w:rPr>
          <w:color w:val="767070"/>
        </w:rPr>
        <w:t>While legal reforms can play a positive role in bolstering the protections for women’s lawful rights, Kosovo law as it is written is gender-neutral. When the law is being interpreted and applied, however, cultural attitudes often come to the fore and affect the outcome. This module will explore the underlying cultural attitudes and values concerning men and women and prompt participants to confront their own biases and personal views on the subject. While the KAJ has a training module on Kosovo law and gender equality, developed with the assistance of GiZ, the KAJ does not have a module focused on the underlying cultural attitudes and behavior that impede women’s ability to exercise their property rights freely and as men</w:t>
      </w:r>
      <w:r>
        <w:rPr>
          <w:color w:val="767070"/>
          <w:spacing w:val="-4"/>
        </w:rPr>
        <w:t> </w:t>
      </w:r>
      <w:r>
        <w:rPr>
          <w:color w:val="767070"/>
        </w:rPr>
        <w:t>do.</w:t>
      </w:r>
    </w:p>
    <w:p>
      <w:pPr>
        <w:spacing w:after="0" w:line="264" w:lineRule="auto"/>
        <w:sectPr>
          <w:pgSz w:w="11910" w:h="16840"/>
          <w:pgMar w:header="0" w:footer="720" w:top="1320" w:bottom="900" w:left="700" w:right="100"/>
        </w:sectPr>
      </w:pPr>
    </w:p>
    <w:p>
      <w:pPr>
        <w:pStyle w:val="BodyText"/>
        <w:spacing w:line="264" w:lineRule="auto" w:before="84"/>
        <w:ind w:left="740" w:right="1716"/>
      </w:pPr>
      <w:r>
        <w:rPr>
          <w:color w:val="767070"/>
          <w:u w:val="single" w:color="767070"/>
        </w:rPr>
        <w:t>ECHR Practice in Property Rights</w:t>
      </w:r>
      <w:r>
        <w:rPr>
          <w:color w:val="767070"/>
        </w:rPr>
        <w:t>. This training module will acquaint participants with the fundamental principles and landmark cases enunciated by the Court pertaining to property rights issues, to enable legal professionals to conduct their work in conformity with the European Convention as interpreted by the ECHR.</w:t>
      </w:r>
    </w:p>
    <w:p>
      <w:pPr>
        <w:pStyle w:val="BodyText"/>
        <w:spacing w:before="6"/>
        <w:rPr>
          <w:sz w:val="20"/>
        </w:rPr>
      </w:pPr>
    </w:p>
    <w:p>
      <w:pPr>
        <w:pStyle w:val="BodyText"/>
        <w:spacing w:line="264" w:lineRule="auto"/>
        <w:ind w:left="740" w:right="1521"/>
      </w:pPr>
      <w:r>
        <w:rPr>
          <w:color w:val="767070"/>
          <w:u w:val="single" w:color="767070"/>
        </w:rPr>
        <w:t>Property Rights Issues in Kosovo Judicial Practice</w:t>
      </w:r>
      <w:r>
        <w:rPr>
          <w:color w:val="767070"/>
        </w:rPr>
        <w:t>. As noted above, PRP has identified a number of areas in current judicial practice in property rights where the law is not always fully understood or correctly applied. For example, many property rights cases being adjudicated today require that judges apply previous, Yugoslav law, which is often poorly understood by younger judges. PRP will develop two complementary modules on current property rights practice, which will afford the participants with a basic knowledge of the contours of the laws relevant to property rights cases in Kosovo today.</w:t>
      </w:r>
    </w:p>
    <w:p>
      <w:pPr>
        <w:pStyle w:val="BodyText"/>
        <w:spacing w:before="2"/>
        <w:rPr>
          <w:sz w:val="20"/>
        </w:rPr>
      </w:pPr>
    </w:p>
    <w:p>
      <w:pPr>
        <w:pStyle w:val="BodyText"/>
        <w:spacing w:line="264" w:lineRule="auto" w:before="1"/>
        <w:ind w:left="740" w:right="1349"/>
      </w:pPr>
      <w:r>
        <w:rPr>
          <w:color w:val="767070"/>
        </w:rPr>
        <w:t>PRP has identified and hired four local expert consultants to develop the training modules and has convened a working session with the KAJ and its counterpart trainers, with whom PRP’s experts will collaborate closely to finalize the modules. The working session focused on the modalities and methodology for developing the training models, the time table for the work, and coordination among the experts. PRP agreed with the KAJ that the consultants will co-deliver up to four trainings with their KAJ counterparts. PRP would like to extend this training to lawyers, notaries and mediators where appropriate.</w:t>
      </w:r>
    </w:p>
    <w:p>
      <w:pPr>
        <w:pStyle w:val="BodyText"/>
        <w:spacing w:before="4"/>
        <w:rPr>
          <w:sz w:val="20"/>
        </w:rPr>
      </w:pPr>
    </w:p>
    <w:p>
      <w:pPr>
        <w:pStyle w:val="BodyText"/>
        <w:spacing w:line="264" w:lineRule="auto"/>
        <w:ind w:left="740" w:right="1707"/>
      </w:pPr>
      <w:r>
        <w:rPr>
          <w:color w:val="767070"/>
        </w:rPr>
        <w:t>PRP has drafted in consultation with USAID a Memorandum of Understanding that will be signed with the KAJ to facilitate cooperation on this initiative. PRP expects the training modules to be completed by December 2018.</w:t>
      </w:r>
    </w:p>
    <w:p>
      <w:pPr>
        <w:spacing w:line="259" w:lineRule="auto" w:before="214"/>
        <w:ind w:left="740" w:right="1334" w:firstLine="0"/>
        <w:jc w:val="both"/>
        <w:rPr>
          <w:sz w:val="22"/>
        </w:rPr>
      </w:pPr>
      <w:r>
        <w:rPr>
          <w:b/>
          <w:color w:val="767070"/>
          <w:sz w:val="22"/>
        </w:rPr>
        <w:t>Planning Training for Lawyers on Property Rights. </w:t>
      </w:r>
      <w:r>
        <w:rPr>
          <w:color w:val="767070"/>
          <w:sz w:val="22"/>
        </w:rPr>
        <w:t>PRP met with Mr. Yll Zekaj, Executive Director of Kosovo Bar Association, and Mr. Zekaj agreed to deliver training for lawyers upon the finalization of the training modules by KAJ.</w:t>
      </w:r>
    </w:p>
    <w:p>
      <w:pPr>
        <w:pStyle w:val="BodyText"/>
        <w:spacing w:before="3"/>
        <w:rPr>
          <w:sz w:val="20"/>
        </w:rPr>
      </w:pPr>
    </w:p>
    <w:p>
      <w:pPr>
        <w:pStyle w:val="Heading4"/>
      </w:pPr>
      <w:bookmarkStart w:name="_bookmark14" w:id="15"/>
      <w:bookmarkEnd w:id="15"/>
      <w:r>
        <w:rPr/>
      </w:r>
      <w:r>
        <w:rPr>
          <w:color w:val="C00000"/>
        </w:rPr>
        <w:t>SUB-OBJECTIVE 2.3: EXPEDITED PROCEDURES DEVELOPED</w:t>
      </w:r>
    </w:p>
    <w:p>
      <w:pPr>
        <w:pStyle w:val="BodyText"/>
        <w:spacing w:line="259" w:lineRule="auto" w:before="146"/>
        <w:ind w:left="740" w:right="1386"/>
      </w:pPr>
      <w:r>
        <w:rPr>
          <w:color w:val="767070"/>
        </w:rPr>
        <w:t>The NSPR recognizes that citizens file contested claims in the courts to obtain legal recognition of undisputed rights because they have no other option. PRP research of the courts’ property rights practice has confirmed that a large number of property cases involve no dispute but are brought to have the court confer recognition of informal property rights. Under current procedural law, the judges have no option but to hear such undisputed claims by applying the Law on Contested Procedure, which results in time-consuming and expensive litigation for citizens and a drain on limited court resources. The NSPR recommends establishing an administrative adjudicatory body using expedited procedures to make it faster and easier for citizens to formalize undisputed rights in property.</w:t>
      </w:r>
    </w:p>
    <w:p>
      <w:pPr>
        <w:pStyle w:val="BodyText"/>
        <w:spacing w:before="8"/>
        <w:rPr>
          <w:sz w:val="20"/>
        </w:rPr>
      </w:pPr>
    </w:p>
    <w:p>
      <w:pPr>
        <w:pStyle w:val="BodyText"/>
        <w:spacing w:line="259" w:lineRule="auto"/>
        <w:ind w:left="740" w:right="1513"/>
      </w:pPr>
      <w:r>
        <w:rPr>
          <w:color w:val="767070"/>
        </w:rPr>
        <w:t>As reported previously, PRP has identified the KPCVA as the most appropriate body to conduct expedited procedures to formalize informal property rights, and supported the development of amendments to the Law on the KPCVA to accord the agency with the mandate to formalize informal property rights, owing to an independent local initiative to extend the general mandate of the KPCVA, which is scheduled to come to an end. That work was carried out during the previous Quarter.</w:t>
      </w:r>
    </w:p>
    <w:p>
      <w:pPr>
        <w:pStyle w:val="BodyText"/>
        <w:spacing w:before="6"/>
        <w:rPr>
          <w:sz w:val="20"/>
        </w:rPr>
      </w:pPr>
    </w:p>
    <w:p>
      <w:pPr>
        <w:pStyle w:val="BodyText"/>
        <w:spacing w:line="259" w:lineRule="auto" w:before="1"/>
        <w:ind w:left="740" w:right="1333"/>
      </w:pPr>
      <w:r>
        <w:rPr>
          <w:color w:val="767070"/>
        </w:rPr>
        <w:t>During this Quarter, as reported in Sub-Objective 1.2 above, PRP prepared the Explanatory Memorandum and supported a meeting of the working group that prepared the legal amendments to</w:t>
      </w:r>
    </w:p>
    <w:p>
      <w:pPr>
        <w:spacing w:after="0" w:line="259" w:lineRule="auto"/>
        <w:sectPr>
          <w:pgSz w:w="11910" w:h="16840"/>
          <w:pgMar w:header="0" w:footer="720" w:top="1340" w:bottom="900" w:left="700" w:right="100"/>
        </w:sectPr>
      </w:pPr>
    </w:p>
    <w:p>
      <w:pPr>
        <w:pStyle w:val="BodyText"/>
        <w:spacing w:line="259" w:lineRule="auto" w:before="80"/>
        <w:ind w:left="740" w:right="1480"/>
      </w:pPr>
      <w:r>
        <w:rPr>
          <w:color w:val="767070"/>
        </w:rPr>
        <w:t>the KPCVA Law. The Office of the Prime Minister submitted the Draft Law to the Government for adoption, and The GoK has approved the draft and sent it on to the Parliament.</w:t>
      </w:r>
    </w:p>
    <w:p>
      <w:pPr>
        <w:pStyle w:val="BodyText"/>
        <w:spacing w:before="6"/>
        <w:rPr>
          <w:sz w:val="20"/>
        </w:rPr>
      </w:pPr>
    </w:p>
    <w:p>
      <w:pPr>
        <w:pStyle w:val="BodyText"/>
        <w:spacing w:line="259" w:lineRule="auto"/>
        <w:ind w:left="740" w:right="1344"/>
      </w:pPr>
      <w:r>
        <w:rPr>
          <w:b/>
          <w:color w:val="767070"/>
        </w:rPr>
        <w:t>Commencing Initiative to Establish a Property Rights Information Portal (PRIP). </w:t>
      </w:r>
      <w:r>
        <w:rPr>
          <w:color w:val="767070"/>
        </w:rPr>
        <w:t>The NSPR on Property Rights calls for enhanced procedures to provide effective notification to all persons inside and outside of Kosovo in connection with property rights proceedings in Kosovo that may affect those persons’ rights. PRP believes that the Official Gazette (OG), which has received extensive USAID assistance and has become widely used and respected, would be the logical venue for such an information portal.</w:t>
      </w:r>
    </w:p>
    <w:p>
      <w:pPr>
        <w:pStyle w:val="BodyText"/>
        <w:spacing w:before="9"/>
        <w:rPr>
          <w:sz w:val="20"/>
        </w:rPr>
      </w:pPr>
    </w:p>
    <w:p>
      <w:pPr>
        <w:pStyle w:val="BodyText"/>
        <w:spacing w:line="259" w:lineRule="auto"/>
        <w:ind w:left="740" w:right="1431"/>
      </w:pPr>
      <w:r>
        <w:rPr>
          <w:color w:val="767070"/>
        </w:rPr>
        <w:t>PRP developed and presented to Mr. Fehmi Stublla, the acting Director of the Office of the OG (OOG), a concept document and roadmap for developing the PRIP to be hosted on the OG. Mr. Stublla responded favorably to the concept document and requested an MOU to define collaboration between OOG and PRP. PRP developed a draft MOU in consultation with USAID and that is currently under review by the OOG.</w:t>
      </w:r>
    </w:p>
    <w:p>
      <w:pPr>
        <w:pStyle w:val="BodyText"/>
        <w:spacing w:before="6"/>
        <w:rPr>
          <w:sz w:val="20"/>
        </w:rPr>
      </w:pPr>
    </w:p>
    <w:p>
      <w:pPr>
        <w:pStyle w:val="BodyText"/>
        <w:spacing w:line="259" w:lineRule="auto"/>
        <w:ind w:left="740" w:right="1626"/>
      </w:pPr>
      <w:r>
        <w:rPr>
          <w:b/>
          <w:color w:val="767070"/>
        </w:rPr>
        <w:t>Meeting with IT Firm that has upgraded the </w:t>
      </w:r>
      <w:r>
        <w:rPr>
          <w:b/>
          <w:i/>
          <w:color w:val="767070"/>
        </w:rPr>
        <w:t>Official Gazette</w:t>
      </w:r>
      <w:r>
        <w:rPr>
          <w:b/>
          <w:color w:val="767070"/>
        </w:rPr>
        <w:t>. </w:t>
      </w:r>
      <w:r>
        <w:rPr>
          <w:color w:val="767070"/>
        </w:rPr>
        <w:t>PRP also met with Komtel Project Engineering (Komtel) to assess requirements for hosting the PRIP on the OG. Komtel has carried out the three previous technical upgrades of the OG supported by USAID and reported after initial assessment that the upgrade would require changes to some of the source codes but would not require major changes to the current IT architecture.</w:t>
      </w:r>
    </w:p>
    <w:p>
      <w:pPr>
        <w:spacing w:after="0" w:line="259" w:lineRule="auto"/>
        <w:sectPr>
          <w:pgSz w:w="11910" w:h="16840"/>
          <w:pgMar w:header="0" w:footer="720" w:top="1320" w:bottom="900" w:left="700" w:right="100"/>
        </w:sectPr>
      </w:pPr>
    </w:p>
    <w:p>
      <w:pPr>
        <w:pStyle w:val="Heading5"/>
        <w:spacing w:before="86"/>
      </w:pPr>
      <w:bookmarkStart w:name="_bookmark15" w:id="16"/>
      <w:bookmarkEnd w:id="16"/>
      <w:r>
        <w:rPr>
          <w:b w:val="0"/>
        </w:rPr>
      </w:r>
      <w:r>
        <w:rPr/>
        <w:t>OBJECTIVE 3: ENHANCED WOMEN’S RIGHTS TO USE PROPERTY IN PRACTICE</w:t>
      </w:r>
    </w:p>
    <w:p>
      <w:pPr>
        <w:pStyle w:val="BodyText"/>
        <w:spacing w:before="5"/>
        <w:rPr>
          <w:b/>
          <w:sz w:val="31"/>
        </w:rPr>
      </w:pPr>
    </w:p>
    <w:p>
      <w:pPr>
        <w:spacing w:line="259" w:lineRule="auto" w:before="0"/>
        <w:ind w:left="740" w:right="2208" w:firstLine="0"/>
        <w:jc w:val="left"/>
        <w:rPr>
          <w:sz w:val="24"/>
        </w:rPr>
      </w:pPr>
      <w:r>
        <w:rPr>
          <w:color w:val="C00000"/>
          <w:sz w:val="24"/>
        </w:rPr>
        <w:t>SUB-OBJECTIVE 3.1: PUBLIC OUTREACH ON EQUAL PROPERTY RIGHTS FOR WOMEN</w:t>
      </w:r>
    </w:p>
    <w:p>
      <w:pPr>
        <w:pStyle w:val="BodyText"/>
      </w:pPr>
    </w:p>
    <w:p>
      <w:pPr>
        <w:pStyle w:val="Heading6"/>
        <w:rPr>
          <w:i/>
          <w:u w:val="none"/>
        </w:rPr>
      </w:pPr>
      <w:r>
        <w:rPr>
          <w:i/>
          <w:color w:val="C00000"/>
          <w:u w:val="single" w:color="C00000"/>
        </w:rPr>
        <w:t>Media</w:t>
      </w:r>
      <w:r>
        <w:rPr>
          <w:i/>
          <w:color w:val="C00000"/>
          <w:spacing w:val="-7"/>
          <w:u w:val="single" w:color="C00000"/>
        </w:rPr>
        <w:t> </w:t>
      </w:r>
      <w:r>
        <w:rPr>
          <w:i/>
          <w:color w:val="C00000"/>
          <w:u w:val="single" w:color="C00000"/>
        </w:rPr>
        <w:t>Campaign</w:t>
      </w:r>
    </w:p>
    <w:p>
      <w:pPr>
        <w:pStyle w:val="BodyText"/>
        <w:spacing w:before="8"/>
        <w:rPr>
          <w:b/>
          <w:i/>
          <w:sz w:val="16"/>
        </w:rPr>
      </w:pPr>
    </w:p>
    <w:p>
      <w:pPr>
        <w:pStyle w:val="BodyText"/>
        <w:spacing w:line="259" w:lineRule="auto" w:before="101"/>
        <w:ind w:left="740" w:right="1397"/>
      </w:pPr>
      <w:r>
        <w:rPr>
          <w:b/>
          <w:color w:val="6C6362"/>
        </w:rPr>
        <w:t>Campaign Banner on Prominent Social Media</w:t>
      </w:r>
      <w:r>
        <w:rPr>
          <w:color w:val="6C6362"/>
        </w:rPr>
        <w:t>. PRP has arranged to have the Head Banner on Kallxo.com feature motifs from its media campaign on women’s property rights. The Head Banner has complemented PRP’s billboard campaign and is linked to PRP’s PSA’s on YouTube. </w:t>
      </w:r>
      <w:r>
        <w:rPr>
          <w:color w:val="2E5395"/>
        </w:rPr>
        <w:t>https://kallxo.com/.</w:t>
      </w:r>
    </w:p>
    <w:p>
      <w:pPr>
        <w:pStyle w:val="BodyText"/>
        <w:spacing w:before="3"/>
      </w:pPr>
      <w:r>
        <w:rPr/>
        <w:drawing>
          <wp:anchor distT="0" distB="0" distL="0" distR="0" allowOverlap="1" layoutInCell="1" locked="0" behindDoc="0" simplePos="0" relativeHeight="22">
            <wp:simplePos x="0" y="0"/>
            <wp:positionH relativeFrom="page">
              <wp:posOffset>914400</wp:posOffset>
            </wp:positionH>
            <wp:positionV relativeFrom="paragraph">
              <wp:posOffset>188883</wp:posOffset>
            </wp:positionV>
            <wp:extent cx="5701573" cy="1343977"/>
            <wp:effectExtent l="0" t="0" r="0" b="0"/>
            <wp:wrapTopAndBottom/>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21" cstate="print"/>
                    <a:stretch>
                      <a:fillRect/>
                    </a:stretch>
                  </pic:blipFill>
                  <pic:spPr>
                    <a:xfrm>
                      <a:off x="0" y="0"/>
                      <a:ext cx="5701573" cy="1343977"/>
                    </a:xfrm>
                    <a:prstGeom prst="rect">
                      <a:avLst/>
                    </a:prstGeom>
                  </pic:spPr>
                </pic:pic>
              </a:graphicData>
            </a:graphic>
          </wp:anchor>
        </w:drawing>
      </w:r>
    </w:p>
    <w:p>
      <w:pPr>
        <w:pStyle w:val="BodyText"/>
        <w:rPr>
          <w:sz w:val="26"/>
        </w:rPr>
      </w:pPr>
    </w:p>
    <w:p>
      <w:pPr>
        <w:pStyle w:val="BodyText"/>
        <w:spacing w:line="259" w:lineRule="auto" w:before="232"/>
        <w:ind w:left="740" w:right="1553"/>
      </w:pPr>
      <w:r>
        <w:rPr>
          <w:b/>
          <w:color w:val="767070"/>
        </w:rPr>
        <w:t>Supporting RTK Journalist with Information on Women’s Property Rights. </w:t>
      </w:r>
      <w:r>
        <w:rPr>
          <w:color w:val="767070"/>
        </w:rPr>
        <w:t>USAID directed to PRP a request from RTK journalist Flora Maxharraj for information on women’s property rights. The journalist is designing a program on that topic and was seeking statistical information; information on the role of Kosovo institutions; information on PRP’s media campaign, “For Our Common Good” and its impact on Kosovo society; and help in identifying a few women who are role models in this area that she can interview.</w:t>
      </w:r>
    </w:p>
    <w:p>
      <w:pPr>
        <w:pStyle w:val="BodyText"/>
        <w:spacing w:before="7"/>
        <w:rPr>
          <w:sz w:val="23"/>
        </w:rPr>
      </w:pPr>
    </w:p>
    <w:p>
      <w:pPr>
        <w:pStyle w:val="BodyText"/>
        <w:spacing w:line="259" w:lineRule="auto"/>
        <w:ind w:left="740" w:right="1330"/>
      </w:pPr>
      <w:r>
        <w:rPr>
          <w:color w:val="767070"/>
        </w:rPr>
        <w:t>PRP provided the journalist with (i) The Baseline National Survey on Property Rights; (ii) The Midterm National Survey on Property Rights; (iii) PRP’s latest statistics regarding women’s property ownership; and (iv) information on the “For Our Common Good Campaign” and its impact in raising awareness on women’s equal property rights. PRP also provided the journalist with contact information for three women who have property registered in their names; jointly registered marital property; and/or have inherited property.</w:t>
      </w:r>
    </w:p>
    <w:p>
      <w:pPr>
        <w:pStyle w:val="BodyText"/>
        <w:spacing w:before="7"/>
        <w:rPr>
          <w:sz w:val="21"/>
        </w:rPr>
      </w:pPr>
    </w:p>
    <w:p>
      <w:pPr>
        <w:pStyle w:val="Heading6"/>
        <w:rPr>
          <w:i/>
          <w:u w:val="none"/>
        </w:rPr>
      </w:pPr>
      <w:r>
        <w:rPr>
          <w:i/>
          <w:color w:val="C00000"/>
          <w:u w:val="single" w:color="C00000"/>
        </w:rPr>
        <w:t>Support to ATRC and Sub-Grantees</w:t>
      </w:r>
    </w:p>
    <w:p>
      <w:pPr>
        <w:pStyle w:val="BodyText"/>
        <w:spacing w:before="8"/>
        <w:rPr>
          <w:b/>
          <w:i/>
          <w:sz w:val="16"/>
        </w:rPr>
      </w:pPr>
    </w:p>
    <w:p>
      <w:pPr>
        <w:pStyle w:val="BodyText"/>
        <w:spacing w:line="259" w:lineRule="auto" w:before="101"/>
        <w:ind w:left="740" w:right="1380"/>
      </w:pPr>
      <w:r>
        <w:rPr>
          <w:b/>
          <w:color w:val="6C6362"/>
        </w:rPr>
        <w:t>BIRN. </w:t>
      </w:r>
      <w:r>
        <w:rPr>
          <w:color w:val="6C6362"/>
        </w:rPr>
        <w:t>PRP has engaged and coordinated actively with the E4E sub-grantee BIRN in connection with its activities in women’s property rights. BIRN has produced story on the draft Law on Inheritance on their web page at Kallxo.com:</w:t>
      </w:r>
    </w:p>
    <w:p>
      <w:pPr>
        <w:pStyle w:val="BodyText"/>
        <w:spacing w:before="8"/>
        <w:rPr>
          <w:sz w:val="23"/>
        </w:rPr>
      </w:pPr>
    </w:p>
    <w:p>
      <w:pPr>
        <w:pStyle w:val="BodyText"/>
        <w:spacing w:line="259" w:lineRule="auto" w:before="1"/>
        <w:ind w:left="740" w:right="1909"/>
      </w:pPr>
      <w:hyperlink r:id="rId22">
        <w:r>
          <w:rPr>
            <w:color w:val="2E5395"/>
            <w:u w:val="single" w:color="2E5395"/>
          </w:rPr>
          <w:t>https://kallxo.com/projektligji-qe-prek-te-drejtat-e-grave-ne-prone-kalon-pengesen-e-fundit-ne-</w:t>
        </w:r>
      </w:hyperlink>
      <w:r>
        <w:rPr>
          <w:color w:val="2E5395"/>
        </w:rPr>
        <w:t> </w:t>
      </w:r>
      <w:hyperlink r:id="rId22">
        <w:r>
          <w:rPr>
            <w:color w:val="2E5395"/>
            <w:u w:val="single" w:color="2E5395"/>
          </w:rPr>
          <w:t>komision/</w:t>
        </w:r>
      </w:hyperlink>
    </w:p>
    <w:p>
      <w:pPr>
        <w:pStyle w:val="BodyText"/>
        <w:spacing w:before="11"/>
        <w:rPr>
          <w:sz w:val="14"/>
        </w:rPr>
      </w:pPr>
    </w:p>
    <w:p>
      <w:pPr>
        <w:pStyle w:val="BodyText"/>
        <w:spacing w:before="101"/>
        <w:ind w:left="740"/>
      </w:pPr>
      <w:r>
        <w:rPr>
          <w:color w:val="6C6362"/>
        </w:rPr>
        <w:t>BIRN has produced numerous other articles on property rights issues:</w:t>
      </w:r>
    </w:p>
    <w:p>
      <w:pPr>
        <w:pStyle w:val="BodyText"/>
        <w:spacing w:before="5"/>
        <w:rPr>
          <w:sz w:val="25"/>
        </w:rPr>
      </w:pPr>
    </w:p>
    <w:p>
      <w:pPr>
        <w:pStyle w:val="ListParagraph"/>
        <w:numPr>
          <w:ilvl w:val="0"/>
          <w:numId w:val="4"/>
        </w:numPr>
        <w:tabs>
          <w:tab w:pos="1100" w:val="left" w:leader="none"/>
          <w:tab w:pos="1101" w:val="left" w:leader="none"/>
        </w:tabs>
        <w:spacing w:line="259" w:lineRule="auto" w:before="0" w:after="0"/>
        <w:ind w:left="1100" w:right="1458" w:hanging="360"/>
        <w:jc w:val="left"/>
        <w:rPr>
          <w:rFonts w:ascii="Symbol" w:hAnsi="Symbol"/>
          <w:color w:val="2E5395"/>
          <w:sz w:val="22"/>
        </w:rPr>
      </w:pPr>
      <w:hyperlink r:id="rId23">
        <w:r>
          <w:rPr>
            <w:color w:val="2E5395"/>
            <w:spacing w:val="-1"/>
            <w:sz w:val="22"/>
            <w:u w:val="single" w:color="2E5395"/>
          </w:rPr>
          <w:t>https://kallxo.com/beteja-e-arejta-gashit-per-ndarjen-e-pasurise-me-ish-bashkeshortin-serish-nis-</w:t>
        </w:r>
      </w:hyperlink>
      <w:hyperlink r:id="rId23">
        <w:r>
          <w:rPr>
            <w:color w:val="2E5395"/>
            <w:spacing w:val="-1"/>
            <w:sz w:val="22"/>
            <w:u w:val="single" w:color="2E5395"/>
          </w:rPr>
          <w:t> </w:t>
        </w:r>
        <w:r>
          <w:rPr>
            <w:color w:val="2E5395"/>
            <w:sz w:val="22"/>
            <w:u w:val="single" w:color="2E5395"/>
          </w:rPr>
          <w:t>nga-fillimi/</w:t>
        </w:r>
      </w:hyperlink>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2E5395"/>
          <w:sz w:val="22"/>
        </w:rPr>
      </w:pPr>
      <w:hyperlink r:id="rId24">
        <w:r>
          <w:rPr>
            <w:color w:val="2E5395"/>
            <w:sz w:val="22"/>
            <w:u w:val="single" w:color="2E5395"/>
          </w:rPr>
          <w:t>https://kallxo.com/paraburgim-te-dyshuarit-per-kanosje-te-nje-gruaje-per-shkak-te-prones/</w:t>
        </w:r>
      </w:hyperlink>
    </w:p>
    <w:p>
      <w:pPr>
        <w:spacing w:after="0" w:line="240" w:lineRule="auto"/>
        <w:jc w:val="left"/>
        <w:rPr>
          <w:rFonts w:ascii="Symbol" w:hAnsi="Symbol"/>
          <w:sz w:val="22"/>
        </w:rPr>
        <w:sectPr>
          <w:pgSz w:w="11910" w:h="16840"/>
          <w:pgMar w:header="0" w:footer="720" w:top="1340" w:bottom="900" w:left="700" w:right="100"/>
        </w:sectPr>
      </w:pPr>
    </w:p>
    <w:p>
      <w:pPr>
        <w:pStyle w:val="ListParagraph"/>
        <w:numPr>
          <w:ilvl w:val="0"/>
          <w:numId w:val="4"/>
        </w:numPr>
        <w:tabs>
          <w:tab w:pos="1100" w:val="left" w:leader="none"/>
          <w:tab w:pos="1101" w:val="left" w:leader="none"/>
        </w:tabs>
        <w:spacing w:line="240" w:lineRule="auto" w:before="80" w:after="0"/>
        <w:ind w:left="1100" w:right="0" w:hanging="360"/>
        <w:jc w:val="left"/>
        <w:rPr>
          <w:rFonts w:ascii="Symbol" w:hAnsi="Symbol"/>
          <w:color w:val="2E5395"/>
          <w:sz w:val="22"/>
        </w:rPr>
      </w:pPr>
      <w:hyperlink r:id="rId25">
        <w:r>
          <w:rPr>
            <w:color w:val="2E5395"/>
            <w:sz w:val="22"/>
            <w:u w:val="single" w:color="2E5395"/>
          </w:rPr>
          <w:t>https://kallxo.com/bie-numri-pronave-te-regjistruara-ne-emer-te-dy-bashkeshorteve/</w:t>
        </w:r>
      </w:hyperlink>
    </w:p>
    <w:p>
      <w:pPr>
        <w:pStyle w:val="ListParagraph"/>
        <w:numPr>
          <w:ilvl w:val="0"/>
          <w:numId w:val="4"/>
        </w:numPr>
        <w:tabs>
          <w:tab w:pos="1100" w:val="left" w:leader="none"/>
          <w:tab w:pos="1101" w:val="left" w:leader="none"/>
        </w:tabs>
        <w:spacing w:line="240" w:lineRule="auto" w:before="21" w:after="0"/>
        <w:ind w:left="1100" w:right="0" w:hanging="360"/>
        <w:jc w:val="left"/>
        <w:rPr>
          <w:rFonts w:ascii="Symbol" w:hAnsi="Symbol"/>
          <w:color w:val="2E5395"/>
          <w:sz w:val="22"/>
        </w:rPr>
      </w:pPr>
      <w:hyperlink r:id="rId26">
        <w:r>
          <w:rPr>
            <w:color w:val="2E5395"/>
            <w:sz w:val="22"/>
            <w:u w:val="single" w:color="2E5395"/>
          </w:rPr>
          <w:t>https://kallxo.com/usaid-prezanton-vendimet-e-gykates-evropiane-per-te-drejtat-e-njeriut</w:t>
        </w:r>
        <w:r>
          <w:rPr>
            <w:color w:val="2E5395"/>
            <w:spacing w:val="-2"/>
            <w:sz w:val="22"/>
          </w:rPr>
          <w:t> </w:t>
        </w:r>
      </w:hyperlink>
      <w:r>
        <w:rPr>
          <w:color w:val="2E5395"/>
          <w:sz w:val="22"/>
        </w:rPr>
        <w:t>/</w:t>
      </w:r>
    </w:p>
    <w:p>
      <w:pPr>
        <w:pStyle w:val="ListParagraph"/>
        <w:numPr>
          <w:ilvl w:val="0"/>
          <w:numId w:val="4"/>
        </w:numPr>
        <w:tabs>
          <w:tab w:pos="1100" w:val="left" w:leader="none"/>
          <w:tab w:pos="1101" w:val="left" w:leader="none"/>
        </w:tabs>
        <w:spacing w:line="259" w:lineRule="auto" w:before="18" w:after="0"/>
        <w:ind w:left="1100" w:right="2279" w:hanging="360"/>
        <w:jc w:val="left"/>
        <w:rPr>
          <w:rFonts w:ascii="Symbol" w:hAnsi="Symbol"/>
          <w:color w:val="2E5395"/>
          <w:sz w:val="22"/>
        </w:rPr>
      </w:pPr>
      <w:hyperlink r:id="rId27">
        <w:r>
          <w:rPr>
            <w:color w:val="2E5395"/>
            <w:spacing w:val="-1"/>
            <w:sz w:val="22"/>
            <w:u w:val="single" w:color="2E5395"/>
          </w:rPr>
          <w:t>https://kallxo.com/perkthehen-ne-shqip-e-serbisht-144-raste-te-vendimeve-te-gjykates-</w:t>
        </w:r>
      </w:hyperlink>
      <w:hyperlink r:id="rId27">
        <w:r>
          <w:rPr>
            <w:color w:val="2E5395"/>
            <w:spacing w:val="-1"/>
            <w:sz w:val="22"/>
            <w:u w:val="single" w:color="2E5395"/>
          </w:rPr>
          <w:t> </w:t>
        </w:r>
        <w:r>
          <w:rPr>
            <w:color w:val="2E5395"/>
            <w:sz w:val="22"/>
            <w:u w:val="single" w:color="2E5395"/>
          </w:rPr>
          <w:t>europiane/</w:t>
        </w:r>
      </w:hyperlink>
    </w:p>
    <w:p>
      <w:pPr>
        <w:pStyle w:val="ListParagraph"/>
        <w:numPr>
          <w:ilvl w:val="0"/>
          <w:numId w:val="4"/>
        </w:numPr>
        <w:tabs>
          <w:tab w:pos="1100" w:val="left" w:leader="none"/>
          <w:tab w:pos="1101" w:val="left" w:leader="none"/>
        </w:tabs>
        <w:spacing w:line="240" w:lineRule="auto" w:before="0" w:after="0"/>
        <w:ind w:left="1100" w:right="0" w:hanging="360"/>
        <w:jc w:val="left"/>
        <w:rPr>
          <w:rFonts w:ascii="Symbol" w:hAnsi="Symbol"/>
          <w:color w:val="2E5395"/>
          <w:sz w:val="22"/>
        </w:rPr>
      </w:pPr>
      <w:hyperlink r:id="rId28">
        <w:r>
          <w:rPr>
            <w:color w:val="2E5395"/>
            <w:sz w:val="22"/>
            <w:u w:val="single" w:color="2E5395"/>
          </w:rPr>
          <w:t>https://kallxo.com/shtate-kusherinj-perfshihen-ne-rrahje-per-ceshtje-pronesore/</w:t>
        </w:r>
      </w:hyperlink>
    </w:p>
    <w:p>
      <w:pPr>
        <w:pStyle w:val="ListParagraph"/>
        <w:numPr>
          <w:ilvl w:val="0"/>
          <w:numId w:val="4"/>
        </w:numPr>
        <w:tabs>
          <w:tab w:pos="1100" w:val="left" w:leader="none"/>
          <w:tab w:pos="1101" w:val="left" w:leader="none"/>
        </w:tabs>
        <w:spacing w:line="240" w:lineRule="auto" w:before="21" w:after="0"/>
        <w:ind w:left="1100" w:right="0" w:hanging="360"/>
        <w:jc w:val="left"/>
        <w:rPr>
          <w:rFonts w:ascii="Symbol" w:hAnsi="Symbol"/>
          <w:color w:val="2E5395"/>
          <w:sz w:val="22"/>
        </w:rPr>
      </w:pPr>
      <w:hyperlink r:id="rId29">
        <w:r>
          <w:rPr>
            <w:color w:val="2E5395"/>
            <w:sz w:val="22"/>
            <w:u w:val="single" w:color="2E5395"/>
          </w:rPr>
          <w:t>https://kallxo.com/paraburgim-vellezerve-nga-mamusha-qe-u-perleshen-per-probleme-pronesore/</w:t>
        </w:r>
      </w:hyperlink>
    </w:p>
    <w:p>
      <w:pPr>
        <w:pStyle w:val="ListParagraph"/>
        <w:numPr>
          <w:ilvl w:val="0"/>
          <w:numId w:val="4"/>
        </w:numPr>
        <w:tabs>
          <w:tab w:pos="1100" w:val="left" w:leader="none"/>
          <w:tab w:pos="1101" w:val="left" w:leader="none"/>
        </w:tabs>
        <w:spacing w:line="240" w:lineRule="auto" w:before="18" w:after="0"/>
        <w:ind w:left="1100" w:right="0" w:hanging="360"/>
        <w:jc w:val="left"/>
        <w:rPr>
          <w:rFonts w:ascii="Symbol" w:hAnsi="Symbol"/>
          <w:color w:val="2E5395"/>
          <w:sz w:val="22"/>
        </w:rPr>
      </w:pPr>
      <w:hyperlink r:id="rId30">
        <w:r>
          <w:rPr>
            <w:color w:val="2E5395"/>
            <w:sz w:val="22"/>
            <w:u w:val="single" w:color="2E5395"/>
          </w:rPr>
          <w:t>https://kallxo.com/rrahen-per-prone-ne-peje/</w:t>
        </w:r>
      </w:hyperlink>
    </w:p>
    <w:p>
      <w:pPr>
        <w:pStyle w:val="ListParagraph"/>
        <w:numPr>
          <w:ilvl w:val="0"/>
          <w:numId w:val="4"/>
        </w:numPr>
        <w:tabs>
          <w:tab w:pos="1100" w:val="left" w:leader="none"/>
          <w:tab w:pos="1101" w:val="left" w:leader="none"/>
        </w:tabs>
        <w:spacing w:line="240" w:lineRule="auto" w:before="21" w:after="0"/>
        <w:ind w:left="1100" w:right="0" w:hanging="360"/>
        <w:jc w:val="left"/>
        <w:rPr>
          <w:rFonts w:ascii="Symbol" w:hAnsi="Symbol"/>
          <w:color w:val="2E5395"/>
          <w:sz w:val="22"/>
        </w:rPr>
      </w:pPr>
      <w:hyperlink r:id="rId31">
        <w:r>
          <w:rPr>
            <w:color w:val="2E5395"/>
            <w:sz w:val="22"/>
            <w:u w:val="single" w:color="2E5395"/>
          </w:rPr>
          <w:t>https://kallxo.com/ministri-i-drejtesise-paralajmeron-ligjin-per-pronat-publike/</w:t>
        </w:r>
      </w:hyperlink>
    </w:p>
    <w:p>
      <w:pPr>
        <w:pStyle w:val="ListParagraph"/>
        <w:numPr>
          <w:ilvl w:val="0"/>
          <w:numId w:val="4"/>
        </w:numPr>
        <w:tabs>
          <w:tab w:pos="1100" w:val="left" w:leader="none"/>
          <w:tab w:pos="1101" w:val="left" w:leader="none"/>
        </w:tabs>
        <w:spacing w:line="240" w:lineRule="auto" w:before="21" w:after="0"/>
        <w:ind w:left="1100" w:right="0" w:hanging="360"/>
        <w:jc w:val="left"/>
        <w:rPr>
          <w:rFonts w:ascii="Symbol" w:hAnsi="Symbol"/>
          <w:color w:val="2E5395"/>
          <w:sz w:val="22"/>
        </w:rPr>
      </w:pPr>
      <w:hyperlink r:id="rId32">
        <w:r>
          <w:rPr>
            <w:color w:val="2E5395"/>
            <w:sz w:val="22"/>
            <w:u w:val="single" w:color="2E5395"/>
          </w:rPr>
          <w:t>https://kallxo.com/gjnk/projektligji-per-noterine-dhe-te-drejtat-e-grave-ne-prone/</w:t>
        </w:r>
      </w:hyperlink>
    </w:p>
    <w:p>
      <w:pPr>
        <w:pStyle w:val="ListParagraph"/>
        <w:numPr>
          <w:ilvl w:val="0"/>
          <w:numId w:val="4"/>
        </w:numPr>
        <w:tabs>
          <w:tab w:pos="1100" w:val="left" w:leader="none"/>
          <w:tab w:pos="1101" w:val="left" w:leader="none"/>
        </w:tabs>
        <w:spacing w:line="240" w:lineRule="auto" w:before="19" w:after="0"/>
        <w:ind w:left="1100" w:right="0" w:hanging="360"/>
        <w:jc w:val="left"/>
        <w:rPr>
          <w:rFonts w:ascii="Symbol" w:hAnsi="Symbol"/>
          <w:color w:val="2E5395"/>
          <w:sz w:val="22"/>
        </w:rPr>
      </w:pPr>
      <w:hyperlink r:id="rId24">
        <w:r>
          <w:rPr>
            <w:color w:val="2E5395"/>
            <w:sz w:val="22"/>
            <w:u w:val="single" w:color="2E5395"/>
          </w:rPr>
          <w:t>https://kallxo.com/paraburgim-te-dyshuarit-per-kanosje-te-nje-gruaje-per-shkak-te-prones/</w:t>
        </w:r>
      </w:hyperlink>
    </w:p>
    <w:p>
      <w:pPr>
        <w:pStyle w:val="ListParagraph"/>
        <w:numPr>
          <w:ilvl w:val="0"/>
          <w:numId w:val="4"/>
        </w:numPr>
        <w:tabs>
          <w:tab w:pos="1100" w:val="left" w:leader="none"/>
          <w:tab w:pos="1101" w:val="left" w:leader="none"/>
        </w:tabs>
        <w:spacing w:line="240" w:lineRule="auto" w:before="21" w:after="0"/>
        <w:ind w:left="1100" w:right="0" w:hanging="360"/>
        <w:jc w:val="left"/>
        <w:rPr>
          <w:rFonts w:ascii="Symbol" w:hAnsi="Symbol"/>
          <w:color w:val="2E5395"/>
          <w:sz w:val="22"/>
        </w:rPr>
      </w:pPr>
      <w:hyperlink r:id="rId33">
        <w:r>
          <w:rPr>
            <w:color w:val="2E5395"/>
            <w:sz w:val="22"/>
            <w:u w:val="single" w:color="2E5395"/>
          </w:rPr>
          <w:t>https://kallxo.com/prishtine-gruaja-kercenohet-ne-pike-te-dites-per-pronen/</w:t>
        </w:r>
      </w:hyperlink>
    </w:p>
    <w:p>
      <w:pPr>
        <w:pStyle w:val="ListParagraph"/>
        <w:numPr>
          <w:ilvl w:val="0"/>
          <w:numId w:val="4"/>
        </w:numPr>
        <w:tabs>
          <w:tab w:pos="1100" w:val="left" w:leader="none"/>
          <w:tab w:pos="1101" w:val="left" w:leader="none"/>
        </w:tabs>
        <w:spacing w:line="256" w:lineRule="auto" w:before="21" w:after="0"/>
        <w:ind w:left="1100" w:right="1559" w:hanging="360"/>
        <w:jc w:val="left"/>
        <w:rPr>
          <w:rFonts w:ascii="Symbol" w:hAnsi="Symbol"/>
          <w:color w:val="2E5395"/>
          <w:sz w:val="22"/>
        </w:rPr>
      </w:pPr>
      <w:hyperlink r:id="rId22">
        <w:r>
          <w:rPr>
            <w:color w:val="2E5395"/>
            <w:spacing w:val="-1"/>
            <w:sz w:val="22"/>
            <w:u w:val="single" w:color="2E5395"/>
          </w:rPr>
          <w:t>https://kallxo.com/projektligji-qe-prek-te-drejtat-e-grave-ne-prone-kalon-pengesen-e-fundit-ne-</w:t>
        </w:r>
      </w:hyperlink>
      <w:hyperlink r:id="rId22">
        <w:r>
          <w:rPr>
            <w:color w:val="2E5395"/>
            <w:spacing w:val="-1"/>
            <w:sz w:val="22"/>
            <w:u w:val="single" w:color="2E5395"/>
          </w:rPr>
          <w:t> </w:t>
        </w:r>
        <w:r>
          <w:rPr>
            <w:color w:val="2E5395"/>
            <w:sz w:val="22"/>
            <w:u w:val="single" w:color="2E5395"/>
          </w:rPr>
          <w:t>komision/</w:t>
        </w:r>
      </w:hyperlink>
    </w:p>
    <w:p>
      <w:pPr>
        <w:pStyle w:val="ListParagraph"/>
        <w:numPr>
          <w:ilvl w:val="0"/>
          <w:numId w:val="4"/>
        </w:numPr>
        <w:tabs>
          <w:tab w:pos="1100" w:val="left" w:leader="none"/>
          <w:tab w:pos="1101" w:val="left" w:leader="none"/>
        </w:tabs>
        <w:spacing w:line="240" w:lineRule="auto" w:before="3" w:after="0"/>
        <w:ind w:left="1100" w:right="0" w:hanging="360"/>
        <w:jc w:val="left"/>
        <w:rPr>
          <w:rFonts w:ascii="Symbol" w:hAnsi="Symbol"/>
          <w:color w:val="2E5395"/>
          <w:sz w:val="22"/>
        </w:rPr>
      </w:pPr>
      <w:hyperlink r:id="rId34">
        <w:r>
          <w:rPr>
            <w:color w:val="2E5395"/>
            <w:sz w:val="22"/>
            <w:u w:val="single" w:color="2E5395"/>
          </w:rPr>
          <w:t>https://kallxo.com/hipotekat-ne-kosove-nuk-i-blen-askush/</w:t>
        </w:r>
      </w:hyperlink>
    </w:p>
    <w:p>
      <w:pPr>
        <w:pStyle w:val="ListParagraph"/>
        <w:numPr>
          <w:ilvl w:val="0"/>
          <w:numId w:val="4"/>
        </w:numPr>
        <w:tabs>
          <w:tab w:pos="1100" w:val="left" w:leader="none"/>
          <w:tab w:pos="1101" w:val="left" w:leader="none"/>
        </w:tabs>
        <w:spacing w:line="240" w:lineRule="auto" w:before="21" w:after="0"/>
        <w:ind w:left="1100" w:right="0" w:hanging="360"/>
        <w:jc w:val="left"/>
        <w:rPr>
          <w:rFonts w:ascii="Symbol" w:hAnsi="Symbol"/>
          <w:color w:val="2E5395"/>
          <w:sz w:val="22"/>
        </w:rPr>
      </w:pPr>
      <w:hyperlink r:id="rId35">
        <w:r>
          <w:rPr>
            <w:color w:val="2E5395"/>
            <w:sz w:val="22"/>
            <w:u w:val="single" w:color="2E5395"/>
          </w:rPr>
          <w:t>https://kallxo.com/llapushnik-mosmarreveshje-per-pronen-arrestohet-nje-person-per-kanosje/</w:t>
        </w:r>
      </w:hyperlink>
    </w:p>
    <w:p>
      <w:pPr>
        <w:pStyle w:val="BodyText"/>
        <w:spacing w:before="8"/>
        <w:rPr>
          <w:sz w:val="16"/>
        </w:rPr>
      </w:pPr>
    </w:p>
    <w:p>
      <w:pPr>
        <w:pStyle w:val="BodyText"/>
        <w:spacing w:line="259" w:lineRule="auto" w:before="101"/>
        <w:ind w:left="740" w:right="1814"/>
      </w:pPr>
      <w:r>
        <w:rPr>
          <w:b/>
          <w:color w:val="6C6362"/>
        </w:rPr>
        <w:t>Gruaja Hyjnore. </w:t>
      </w:r>
      <w:r>
        <w:rPr>
          <w:color w:val="6C6362"/>
        </w:rPr>
        <w:t>PRP has supported the E4E sub-grantee, “Gruaja Hyjnore,” with information leaflets and brochures for use in their lectures and dissemination activities. Gruaja Hyjnore held number of awareness-raising workshops and meetings with women in the Gjilani/Gnjilane area, including in villages and with high school students.</w:t>
      </w:r>
    </w:p>
    <w:p>
      <w:pPr>
        <w:pStyle w:val="BodyText"/>
        <w:spacing w:before="8"/>
        <w:rPr>
          <w:sz w:val="23"/>
        </w:rPr>
      </w:pPr>
    </w:p>
    <w:p>
      <w:pPr>
        <w:pStyle w:val="Heading6"/>
        <w:rPr>
          <w:i/>
          <w:u w:val="none"/>
        </w:rPr>
      </w:pPr>
      <w:r>
        <w:rPr>
          <w:i/>
          <w:color w:val="C00000"/>
          <w:u w:val="single" w:color="C00000"/>
        </w:rPr>
        <w:t>Public Outreach Events in Municipalities</w:t>
      </w:r>
    </w:p>
    <w:p>
      <w:pPr>
        <w:pStyle w:val="BodyText"/>
        <w:spacing w:before="9"/>
        <w:rPr>
          <w:b/>
          <w:i/>
          <w:sz w:val="16"/>
        </w:rPr>
      </w:pPr>
    </w:p>
    <w:p>
      <w:pPr>
        <w:pStyle w:val="BodyText"/>
        <w:spacing w:line="259" w:lineRule="auto" w:before="101"/>
        <w:ind w:left="740" w:right="1534"/>
      </w:pPr>
      <w:r>
        <w:rPr>
          <w:b/>
          <w:color w:val="767070"/>
        </w:rPr>
        <w:t>PRP’s Support to Municipal Gender Officers (MGOs). </w:t>
      </w:r>
      <w:r>
        <w:rPr>
          <w:color w:val="767070"/>
        </w:rPr>
        <w:t>PRP has continued to work closely with MGOs to foster their active engagement on women’s property rights issues. PRP is working with MGOs from Suharekë/Suva Reka, Mitrovicë/Mitrovica, Lipjan/Ljipjane, Gjakova/Đjakovica, Dragash/Dragaš, Viti/Vitina and Shtërpcë/Šterpce to develop a joint plan of activities in support of women’s property rights. Some of these activities have already begun, while others will be coordinated jointly with MGOs in upcoming months.</w:t>
      </w:r>
    </w:p>
    <w:p>
      <w:pPr>
        <w:pStyle w:val="BodyText"/>
        <w:spacing w:before="7"/>
        <w:rPr>
          <w:sz w:val="23"/>
        </w:rPr>
      </w:pPr>
    </w:p>
    <w:p>
      <w:pPr>
        <w:spacing w:line="259" w:lineRule="auto" w:before="0"/>
        <w:ind w:left="740" w:right="1371" w:firstLine="0"/>
        <w:jc w:val="left"/>
        <w:rPr>
          <w:sz w:val="22"/>
        </w:rPr>
      </w:pPr>
      <w:r>
        <w:rPr>
          <w:b/>
          <w:color w:val="767070"/>
          <w:sz w:val="22"/>
        </w:rPr>
        <w:t>Workshop with Local Assembly Women’s Caucus in </w:t>
      </w:r>
      <w:r>
        <w:rPr>
          <w:color w:val="767070"/>
          <w:sz w:val="22"/>
        </w:rPr>
        <w:t>Suharekë/Suva Reka Municipality. PRP and the MGO organized a workshop with the local assembly women’s caucus and municipal staff.</w:t>
      </w:r>
    </w:p>
    <w:p>
      <w:pPr>
        <w:pStyle w:val="BodyText"/>
        <w:spacing w:line="259" w:lineRule="auto" w:before="1"/>
        <w:ind w:left="740" w:right="1337"/>
      </w:pPr>
      <w:r>
        <w:rPr>
          <w:color w:val="767070"/>
        </w:rPr>
        <w:t>The aim of the workshop was to sensitize the women’s caucus on the issues surrounding equal property rights in Kosovo. The workshop was divided into three sections: (i) a presentation from the MGO on the local policies regarding gender equality, including MGO’s plans for activities in support to women’s property rights; (ii) a presentation by PRP on issues surrounding women’s equal property rights in Kosovo and (iii) discussion and development of recommendations for next steps. The workshop concluded with a list of recommendations from the participants on how local assembly members and municipal staff can support women’s property rights in their municipality. It is clear that much more work is required to achieve equality for women. Concealment of female heirs and their exclusion from inheritance proceedings continues to prevent women from exercising their legal rights to inherit family property. One of the participants at the workshop noted that he himself had been involved in such an instance when he was asked to witness an Act of Death that was to be used conceal a female heir. Other participants expressed direct and indirect knowledge of similar attempts to conceal or exclude female</w:t>
      </w:r>
      <w:r>
        <w:rPr>
          <w:color w:val="767070"/>
          <w:spacing w:val="-9"/>
        </w:rPr>
        <w:t> </w:t>
      </w:r>
      <w:r>
        <w:rPr>
          <w:color w:val="767070"/>
        </w:rPr>
        <w:t>heirs.</w:t>
      </w:r>
    </w:p>
    <w:p>
      <w:pPr>
        <w:pStyle w:val="BodyText"/>
        <w:spacing w:before="6"/>
        <w:rPr>
          <w:sz w:val="23"/>
        </w:rPr>
      </w:pPr>
    </w:p>
    <w:p>
      <w:pPr>
        <w:pStyle w:val="BodyText"/>
        <w:spacing w:line="259" w:lineRule="auto"/>
        <w:ind w:left="740" w:right="1444"/>
      </w:pPr>
      <w:r>
        <w:rPr>
          <w:color w:val="767070"/>
        </w:rPr>
        <w:t>This workshop has also helped the MGO to identify support groups that can be engaged in upcoming outreach and advocacy activities with women and youngsters on women’s equal property rights.</w:t>
      </w:r>
    </w:p>
    <w:p>
      <w:pPr>
        <w:spacing w:after="0" w:line="259" w:lineRule="auto"/>
        <w:sectPr>
          <w:pgSz w:w="11910" w:h="16840"/>
          <w:pgMar w:header="0" w:footer="720" w:top="1320" w:bottom="900" w:left="700" w:right="100"/>
        </w:sectPr>
      </w:pPr>
    </w:p>
    <w:p>
      <w:pPr>
        <w:pStyle w:val="BodyText"/>
        <w:spacing w:before="1"/>
        <w:rPr>
          <w:sz w:val="10"/>
        </w:rPr>
      </w:pPr>
    </w:p>
    <w:p>
      <w:pPr>
        <w:tabs>
          <w:tab w:pos="5620" w:val="left" w:leader="none"/>
        </w:tabs>
        <w:spacing w:line="240" w:lineRule="auto"/>
        <w:ind w:left="740" w:right="0" w:firstLine="0"/>
        <w:rPr>
          <w:sz w:val="20"/>
        </w:rPr>
      </w:pPr>
      <w:r>
        <w:rPr>
          <w:sz w:val="20"/>
        </w:rPr>
        <w:drawing>
          <wp:inline distT="0" distB="0" distL="0" distR="0">
            <wp:extent cx="2957679" cy="1999106"/>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36" cstate="print"/>
                    <a:stretch>
                      <a:fillRect/>
                    </a:stretch>
                  </pic:blipFill>
                  <pic:spPr>
                    <a:xfrm>
                      <a:off x="0" y="0"/>
                      <a:ext cx="2957679" cy="1999106"/>
                    </a:xfrm>
                    <a:prstGeom prst="rect">
                      <a:avLst/>
                    </a:prstGeom>
                  </pic:spPr>
                </pic:pic>
              </a:graphicData>
            </a:graphic>
          </wp:inline>
        </w:drawing>
      </w:r>
      <w:r>
        <w:rPr>
          <w:sz w:val="20"/>
        </w:rPr>
      </w:r>
      <w:r>
        <w:rPr>
          <w:sz w:val="20"/>
        </w:rPr>
        <w:tab/>
      </w:r>
      <w:r>
        <w:rPr>
          <w:position w:val="5"/>
          <w:sz w:val="20"/>
        </w:rPr>
        <w:drawing>
          <wp:inline distT="0" distB="0" distL="0" distR="0">
            <wp:extent cx="2893139" cy="1969770"/>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37" cstate="print"/>
                    <a:stretch>
                      <a:fillRect/>
                    </a:stretch>
                  </pic:blipFill>
                  <pic:spPr>
                    <a:xfrm>
                      <a:off x="0" y="0"/>
                      <a:ext cx="2893139" cy="1969770"/>
                    </a:xfrm>
                    <a:prstGeom prst="rect">
                      <a:avLst/>
                    </a:prstGeom>
                  </pic:spPr>
                </pic:pic>
              </a:graphicData>
            </a:graphic>
          </wp:inline>
        </w:drawing>
      </w:r>
      <w:r>
        <w:rPr>
          <w:position w:val="5"/>
          <w:sz w:val="20"/>
        </w:rPr>
      </w:r>
    </w:p>
    <w:p>
      <w:pPr>
        <w:pStyle w:val="BodyText"/>
        <w:rPr>
          <w:sz w:val="20"/>
        </w:rPr>
      </w:pPr>
    </w:p>
    <w:p>
      <w:pPr>
        <w:pStyle w:val="BodyText"/>
        <w:rPr>
          <w:sz w:val="20"/>
        </w:rPr>
      </w:pPr>
    </w:p>
    <w:p>
      <w:pPr>
        <w:pStyle w:val="BodyText"/>
        <w:spacing w:before="11"/>
        <w:rPr>
          <w:sz w:val="21"/>
        </w:rPr>
      </w:pPr>
    </w:p>
    <w:p>
      <w:pPr>
        <w:pStyle w:val="Heading6"/>
        <w:rPr>
          <w:i/>
          <w:u w:val="none"/>
        </w:rPr>
      </w:pPr>
      <w:r>
        <w:rPr>
          <w:i/>
          <w:color w:val="C00000"/>
          <w:u w:val="single" w:color="C00000"/>
        </w:rPr>
        <w:t>Endline National Survey on Property Rights</w:t>
      </w:r>
    </w:p>
    <w:p>
      <w:pPr>
        <w:pStyle w:val="BodyText"/>
        <w:spacing w:before="1"/>
        <w:rPr>
          <w:b/>
          <w:i/>
          <w:sz w:val="16"/>
        </w:rPr>
      </w:pPr>
    </w:p>
    <w:p>
      <w:pPr>
        <w:spacing w:line="256" w:lineRule="auto" w:before="101"/>
        <w:ind w:left="740" w:right="1408" w:firstLine="0"/>
        <w:jc w:val="left"/>
        <w:rPr>
          <w:sz w:val="22"/>
        </w:rPr>
      </w:pPr>
      <w:r>
        <w:rPr>
          <w:b/>
          <w:color w:val="767070"/>
          <w:sz w:val="22"/>
        </w:rPr>
        <w:t>Preparations Begun for Endline National Survey on Property Rights. </w:t>
      </w:r>
      <w:r>
        <w:rPr>
          <w:color w:val="767070"/>
          <w:sz w:val="22"/>
        </w:rPr>
        <w:t>PRP has awarded the subcontract to UBO Consulting (UBO) to conduct the end-line survey. It is expected that UBO will begin its work on or about October 1, 2018 and will complete the survey and issue the report on the findings by the end of February 2019.</w:t>
      </w:r>
    </w:p>
    <w:p>
      <w:pPr>
        <w:pStyle w:val="BodyText"/>
        <w:spacing w:before="2"/>
        <w:rPr>
          <w:sz w:val="23"/>
        </w:rPr>
      </w:pPr>
    </w:p>
    <w:p>
      <w:pPr>
        <w:pStyle w:val="BodyText"/>
        <w:spacing w:line="256" w:lineRule="auto"/>
        <w:ind w:left="740" w:right="1562"/>
      </w:pPr>
      <w:r>
        <w:rPr>
          <w:color w:val="767070"/>
        </w:rPr>
        <w:t>As with the baseline and mid-term surveys PRP has conducted to date, the end-line survey will be conducted in all 38 Municipalities of Kosovo, including the four northern municipalities. UBO will survey 1,500 households, which is the number required to produce a statistically significant sample that is representative for the entire country.</w:t>
      </w:r>
    </w:p>
    <w:p>
      <w:pPr>
        <w:pStyle w:val="BodyText"/>
        <w:spacing w:before="6"/>
        <w:rPr>
          <w:sz w:val="30"/>
        </w:rPr>
      </w:pPr>
    </w:p>
    <w:p>
      <w:pPr>
        <w:pStyle w:val="Heading4"/>
        <w:ind w:right="1469"/>
      </w:pPr>
      <w:bookmarkStart w:name="_bookmark16" w:id="17"/>
      <w:bookmarkEnd w:id="17"/>
      <w:r>
        <w:rPr/>
      </w:r>
      <w:r>
        <w:rPr>
          <w:color w:val="C00000"/>
        </w:rPr>
        <w:t>SUB-OBJECTIVE 3.2: CONDUCT TRAININGS FOR JUDGES ON WOMEN’S PROPERTY RIGHTS ISSUES AND GENDER SENSITIVITY</w:t>
      </w:r>
    </w:p>
    <w:p>
      <w:pPr>
        <w:pStyle w:val="BodyText"/>
        <w:spacing w:line="264" w:lineRule="auto" w:before="150"/>
        <w:ind w:left="740" w:right="1379"/>
      </w:pPr>
      <w:r>
        <w:rPr>
          <w:color w:val="6C6362"/>
        </w:rPr>
        <w:t>Most judges are men, and as members of society they are susceptible to prevailing cultural values. It is important that judges understand how social norms and practices can reduce the ability of women to exercise and protect their rights; and that the courts must dispense justice to men and women equally. As described under Sub-objective 2.2, PRP is developing a training module on gender sensitivity for judges and other professionals that will examine the cultural attitudes that impede women’s ability to exercise their property rights as men do. Training on the Inheritance Package of legislation will be will be offered to judges, lawyers, notaries and mediators when the legislation is adopted into law.</w:t>
      </w:r>
    </w:p>
    <w:p>
      <w:pPr>
        <w:spacing w:after="0" w:line="264" w:lineRule="auto"/>
        <w:sectPr>
          <w:pgSz w:w="11910" w:h="16840"/>
          <w:pgMar w:header="0" w:footer="720" w:top="1580" w:bottom="900" w:left="700" w:right="100"/>
        </w:sectPr>
      </w:pPr>
    </w:p>
    <w:p>
      <w:pPr>
        <w:pStyle w:val="Heading5"/>
        <w:spacing w:line="264" w:lineRule="auto" w:before="84"/>
        <w:ind w:right="1542"/>
      </w:pPr>
      <w:bookmarkStart w:name="_bookmark17" w:id="18"/>
      <w:bookmarkEnd w:id="18"/>
      <w:r>
        <w:rPr>
          <w:b w:val="0"/>
        </w:rPr>
      </w:r>
      <w:r>
        <w:rPr/>
        <w:t>OBJECTIVE 4: IMPROVED COMMUNICATION, ACCESS TO INFORMATION AND UNDERSTANDING OF PROPERTY RIGHTS</w:t>
      </w:r>
    </w:p>
    <w:p>
      <w:pPr>
        <w:pStyle w:val="BodyText"/>
        <w:spacing w:before="5"/>
        <w:rPr>
          <w:b/>
          <w:sz w:val="28"/>
        </w:rPr>
      </w:pPr>
    </w:p>
    <w:p>
      <w:pPr>
        <w:pStyle w:val="Heading4"/>
        <w:spacing w:line="242" w:lineRule="auto"/>
        <w:ind w:right="1653"/>
      </w:pPr>
      <w:bookmarkStart w:name="_bookmark18" w:id="19"/>
      <w:bookmarkEnd w:id="19"/>
      <w:r>
        <w:rPr/>
      </w:r>
      <w:r>
        <w:rPr>
          <w:color w:val="C00000"/>
        </w:rPr>
        <w:t>SUB-OBJECTIVE 4.1: IMPROVED MUNICIPAL SERVICE DELIVERY AND DISSEMINATION OF LEGAL INFORMATION TO ASSIST CITIZENS TO EFFECTIVELY EXERCISE THEIR RIGHTS TO PROPERTY</w:t>
      </w:r>
    </w:p>
    <w:p>
      <w:pPr>
        <w:pStyle w:val="BodyText"/>
        <w:spacing w:before="2"/>
        <w:rPr>
          <w:sz w:val="34"/>
        </w:rPr>
      </w:pPr>
    </w:p>
    <w:p>
      <w:pPr>
        <w:pStyle w:val="Heading6"/>
        <w:rPr>
          <w:i/>
          <w:u w:val="none"/>
        </w:rPr>
      </w:pPr>
      <w:r>
        <w:rPr>
          <w:i/>
          <w:color w:val="C00000"/>
          <w:u w:val="single" w:color="C00000"/>
        </w:rPr>
        <w:t>Support to All Municipalities (Tier I Support)</w:t>
      </w:r>
    </w:p>
    <w:p>
      <w:pPr>
        <w:pStyle w:val="BodyText"/>
        <w:spacing w:before="8"/>
        <w:rPr>
          <w:b/>
          <w:i/>
          <w:sz w:val="16"/>
        </w:rPr>
      </w:pPr>
    </w:p>
    <w:p>
      <w:pPr>
        <w:pStyle w:val="BodyText"/>
        <w:spacing w:line="259" w:lineRule="auto" w:before="101"/>
        <w:ind w:left="740" w:right="1347"/>
      </w:pPr>
      <w:r>
        <w:rPr/>
        <w:drawing>
          <wp:anchor distT="0" distB="0" distL="0" distR="0" allowOverlap="1" layoutInCell="1" locked="0" behindDoc="1" simplePos="0" relativeHeight="268369919">
            <wp:simplePos x="0" y="0"/>
            <wp:positionH relativeFrom="page">
              <wp:posOffset>4440554</wp:posOffset>
            </wp:positionH>
            <wp:positionV relativeFrom="paragraph">
              <wp:posOffset>639967</wp:posOffset>
            </wp:positionV>
            <wp:extent cx="2052954" cy="1268729"/>
            <wp:effectExtent l="0" t="0" r="0" b="0"/>
            <wp:wrapNone/>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38" cstate="print"/>
                    <a:stretch>
                      <a:fillRect/>
                    </a:stretch>
                  </pic:blipFill>
                  <pic:spPr>
                    <a:xfrm>
                      <a:off x="0" y="0"/>
                      <a:ext cx="2052954" cy="1268729"/>
                    </a:xfrm>
                    <a:prstGeom prst="rect">
                      <a:avLst/>
                    </a:prstGeom>
                  </pic:spPr>
                </pic:pic>
              </a:graphicData>
            </a:graphic>
          </wp:anchor>
        </w:drawing>
      </w:r>
      <w:r>
        <w:rPr>
          <w:b/>
          <w:color w:val="767070"/>
        </w:rPr>
        <w:t>Series of Regional Training Workshops with MCO’s Concluded</w:t>
      </w:r>
      <w:r>
        <w:rPr>
          <w:color w:val="767070"/>
        </w:rPr>
        <w:t>. PRP completed its series of five regional training workshops on property registration service delivery, with the fifth regional workshop for MCO’s held in Peja/ Peć. Attendance has been good at all the workshops, with MCO staff from 30 municipalities participating, including MCO</w:t>
      </w:r>
    </w:p>
    <w:p>
      <w:pPr>
        <w:pStyle w:val="BodyText"/>
        <w:spacing w:line="259" w:lineRule="auto"/>
        <w:ind w:left="740" w:right="5868"/>
      </w:pPr>
      <w:r>
        <w:rPr>
          <w:color w:val="767070"/>
        </w:rPr>
        <w:t>staff of the Serb-majority municipalities Gracanicë, Shterpce, Ranillug, Kllokot, Partesh and Leposavic.</w:t>
      </w:r>
    </w:p>
    <w:p>
      <w:pPr>
        <w:pStyle w:val="BodyText"/>
        <w:spacing w:before="10"/>
        <w:rPr>
          <w:sz w:val="23"/>
        </w:rPr>
      </w:pPr>
    </w:p>
    <w:p>
      <w:pPr>
        <w:pStyle w:val="BodyText"/>
        <w:spacing w:line="259" w:lineRule="auto"/>
        <w:ind w:left="4153" w:right="5027"/>
      </w:pPr>
      <w:r>
        <w:rPr/>
        <w:drawing>
          <wp:anchor distT="0" distB="0" distL="0" distR="0" allowOverlap="1" layoutInCell="1" locked="0" behindDoc="0" simplePos="0" relativeHeight="1576">
            <wp:simplePos x="0" y="0"/>
            <wp:positionH relativeFrom="page">
              <wp:posOffset>871219</wp:posOffset>
            </wp:positionH>
            <wp:positionV relativeFrom="paragraph">
              <wp:posOffset>-40878</wp:posOffset>
            </wp:positionV>
            <wp:extent cx="2121535" cy="1345565"/>
            <wp:effectExtent l="0" t="0" r="0" b="0"/>
            <wp:wrapNone/>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39" cstate="print"/>
                    <a:stretch>
                      <a:fillRect/>
                    </a:stretch>
                  </pic:blipFill>
                  <pic:spPr>
                    <a:xfrm>
                      <a:off x="0" y="0"/>
                      <a:ext cx="2121535" cy="1345565"/>
                    </a:xfrm>
                    <a:prstGeom prst="rect">
                      <a:avLst/>
                    </a:prstGeom>
                  </pic:spPr>
                </pic:pic>
              </a:graphicData>
            </a:graphic>
          </wp:anchor>
        </w:drawing>
      </w:r>
      <w:r>
        <w:rPr>
          <w:color w:val="767070"/>
        </w:rPr>
        <w:t>The workshops were designed to focus attention and foster constructive</w:t>
      </w:r>
    </w:p>
    <w:p>
      <w:pPr>
        <w:pStyle w:val="BodyText"/>
        <w:spacing w:line="259" w:lineRule="auto"/>
        <w:ind w:left="4153" w:right="1576"/>
      </w:pPr>
      <w:r>
        <w:rPr>
          <w:color w:val="767070"/>
        </w:rPr>
        <w:t>discussion on specific challenges and problematic issues confronting MCOs that PRP has identified through its work with MCOs in Viti/Vitina and Štrpce/Shtërpcë municipalities, with the ultimate goal of eliciting recommendations that will</w:t>
      </w:r>
    </w:p>
    <w:p>
      <w:pPr>
        <w:pStyle w:val="BodyText"/>
        <w:ind w:left="740"/>
      </w:pPr>
      <w:r>
        <w:rPr>
          <w:color w:val="767070"/>
        </w:rPr>
        <w:t>foster better and more unified practice within the MCOs.</w:t>
      </w:r>
    </w:p>
    <w:p>
      <w:pPr>
        <w:pStyle w:val="BodyText"/>
        <w:spacing w:before="4"/>
        <w:rPr>
          <w:sz w:val="25"/>
        </w:rPr>
      </w:pPr>
    </w:p>
    <w:p>
      <w:pPr>
        <w:pStyle w:val="BodyText"/>
        <w:spacing w:line="259" w:lineRule="auto"/>
        <w:ind w:left="740" w:right="5150"/>
        <w:jc w:val="both"/>
      </w:pPr>
      <w:r>
        <w:rPr/>
        <w:drawing>
          <wp:anchor distT="0" distB="0" distL="0" distR="0" allowOverlap="1" layoutInCell="1" locked="0" behindDoc="0" simplePos="0" relativeHeight="1600">
            <wp:simplePos x="0" y="0"/>
            <wp:positionH relativeFrom="page">
              <wp:posOffset>4337050</wp:posOffset>
            </wp:positionH>
            <wp:positionV relativeFrom="paragraph">
              <wp:posOffset>139588</wp:posOffset>
            </wp:positionV>
            <wp:extent cx="2157095" cy="1526539"/>
            <wp:effectExtent l="0" t="0" r="0" b="0"/>
            <wp:wrapNone/>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40" cstate="print"/>
                    <a:stretch>
                      <a:fillRect/>
                    </a:stretch>
                  </pic:blipFill>
                  <pic:spPr>
                    <a:xfrm>
                      <a:off x="0" y="0"/>
                      <a:ext cx="2157095" cy="1526539"/>
                    </a:xfrm>
                    <a:prstGeom prst="rect">
                      <a:avLst/>
                    </a:prstGeom>
                  </pic:spPr>
                </pic:pic>
              </a:graphicData>
            </a:graphic>
          </wp:anchor>
        </w:drawing>
      </w:r>
      <w:r>
        <w:rPr>
          <w:color w:val="767070"/>
        </w:rPr>
        <w:t>Following the completion of the five regional training workshops,</w:t>
      </w:r>
      <w:r>
        <w:rPr>
          <w:color w:val="767070"/>
          <w:spacing w:val="-15"/>
        </w:rPr>
        <w:t> </w:t>
      </w:r>
      <w:r>
        <w:rPr>
          <w:color w:val="767070"/>
        </w:rPr>
        <w:t>PRP</w:t>
      </w:r>
      <w:r>
        <w:rPr>
          <w:color w:val="767070"/>
          <w:spacing w:val="-15"/>
        </w:rPr>
        <w:t> </w:t>
      </w:r>
      <w:r>
        <w:rPr>
          <w:color w:val="767070"/>
        </w:rPr>
        <w:t>prepared</w:t>
      </w:r>
      <w:r>
        <w:rPr>
          <w:color w:val="767070"/>
          <w:spacing w:val="-16"/>
        </w:rPr>
        <w:t> </w:t>
      </w:r>
      <w:r>
        <w:rPr>
          <w:color w:val="767070"/>
        </w:rPr>
        <w:t>distributed</w:t>
      </w:r>
      <w:r>
        <w:rPr>
          <w:color w:val="767070"/>
          <w:spacing w:val="-15"/>
        </w:rPr>
        <w:t> </w:t>
      </w:r>
      <w:r>
        <w:rPr>
          <w:color w:val="767070"/>
        </w:rPr>
        <w:t>to</w:t>
      </w:r>
      <w:r>
        <w:rPr>
          <w:color w:val="767070"/>
          <w:spacing w:val="-13"/>
        </w:rPr>
        <w:t> </w:t>
      </w:r>
      <w:r>
        <w:rPr>
          <w:color w:val="767070"/>
        </w:rPr>
        <w:t>all</w:t>
      </w:r>
      <w:r>
        <w:rPr>
          <w:color w:val="767070"/>
          <w:spacing w:val="-17"/>
        </w:rPr>
        <w:t> </w:t>
      </w:r>
      <w:r>
        <w:rPr>
          <w:color w:val="767070"/>
        </w:rPr>
        <w:t>the</w:t>
      </w:r>
      <w:r>
        <w:rPr>
          <w:color w:val="767070"/>
          <w:spacing w:val="-16"/>
        </w:rPr>
        <w:t> </w:t>
      </w:r>
      <w:r>
        <w:rPr>
          <w:color w:val="767070"/>
        </w:rPr>
        <w:t>participants in</w:t>
      </w:r>
      <w:r>
        <w:rPr>
          <w:color w:val="767070"/>
          <w:spacing w:val="-7"/>
        </w:rPr>
        <w:t> </w:t>
      </w:r>
      <w:r>
        <w:rPr>
          <w:color w:val="767070"/>
        </w:rPr>
        <w:t>the</w:t>
      </w:r>
      <w:r>
        <w:rPr>
          <w:color w:val="767070"/>
          <w:spacing w:val="-8"/>
        </w:rPr>
        <w:t> </w:t>
      </w:r>
      <w:r>
        <w:rPr>
          <w:color w:val="767070"/>
        </w:rPr>
        <w:t>regional</w:t>
      </w:r>
      <w:r>
        <w:rPr>
          <w:color w:val="767070"/>
          <w:spacing w:val="-6"/>
        </w:rPr>
        <w:t> </w:t>
      </w:r>
      <w:r>
        <w:rPr>
          <w:color w:val="767070"/>
        </w:rPr>
        <w:t>workshops</w:t>
      </w:r>
      <w:r>
        <w:rPr>
          <w:color w:val="767070"/>
          <w:spacing w:val="-8"/>
        </w:rPr>
        <w:t> </w:t>
      </w:r>
      <w:r>
        <w:rPr>
          <w:color w:val="767070"/>
        </w:rPr>
        <w:t>a</w:t>
      </w:r>
      <w:r>
        <w:rPr>
          <w:color w:val="767070"/>
          <w:spacing w:val="-7"/>
        </w:rPr>
        <w:t> </w:t>
      </w:r>
      <w:r>
        <w:rPr>
          <w:color w:val="767070"/>
        </w:rPr>
        <w:t>memorandum</w:t>
      </w:r>
      <w:r>
        <w:rPr>
          <w:color w:val="767070"/>
          <w:spacing w:val="-6"/>
        </w:rPr>
        <w:t> </w:t>
      </w:r>
      <w:r>
        <w:rPr>
          <w:color w:val="767070"/>
        </w:rPr>
        <w:t>(in</w:t>
      </w:r>
      <w:r>
        <w:rPr>
          <w:color w:val="767070"/>
          <w:spacing w:val="-7"/>
        </w:rPr>
        <w:t> </w:t>
      </w:r>
      <w:r>
        <w:rPr>
          <w:color w:val="767070"/>
        </w:rPr>
        <w:t>the</w:t>
      </w:r>
      <w:r>
        <w:rPr>
          <w:color w:val="767070"/>
          <w:spacing w:val="-8"/>
        </w:rPr>
        <w:t> </w:t>
      </w:r>
      <w:r>
        <w:rPr>
          <w:color w:val="767070"/>
        </w:rPr>
        <w:t>Albanian and Serbian languages) that described the issues discussed at all the workshops. The memorandum also drew on the findings from the survey that PRP distributed at the workshops. PRP provided recommendations to address the challenges identified as a prelude to next steps in cooperation and</w:t>
      </w:r>
      <w:r>
        <w:rPr>
          <w:color w:val="767070"/>
          <w:spacing w:val="-5"/>
        </w:rPr>
        <w:t> </w:t>
      </w:r>
      <w:r>
        <w:rPr>
          <w:color w:val="767070"/>
        </w:rPr>
        <w:t>support.</w:t>
      </w:r>
    </w:p>
    <w:p>
      <w:pPr>
        <w:pStyle w:val="BodyText"/>
        <w:rPr>
          <w:sz w:val="26"/>
        </w:rPr>
      </w:pPr>
    </w:p>
    <w:p>
      <w:pPr>
        <w:pStyle w:val="BodyText"/>
        <w:spacing w:before="1"/>
        <w:rPr>
          <w:sz w:val="25"/>
        </w:rPr>
      </w:pPr>
    </w:p>
    <w:p>
      <w:pPr>
        <w:pStyle w:val="BodyText"/>
        <w:spacing w:line="259" w:lineRule="auto" w:before="1"/>
        <w:ind w:left="740" w:right="1381"/>
      </w:pPr>
      <w:r>
        <w:rPr>
          <w:b/>
          <w:color w:val="767070"/>
        </w:rPr>
        <w:t>Municipalities Publish the “How to Register …” Brochure Series on their Webpages. </w:t>
      </w:r>
      <w:r>
        <w:rPr>
          <w:color w:val="767070"/>
        </w:rPr>
        <w:t>At its meetings with the MCO officials PRP, distributed a number of hard-copy brochures that provide citizens with guidance on registering property rights arising in four different scenarios (from inheritance; purchase and sale; court judgment; and gift). PRP has also urged the municipalities to publish the “How to register …” brochures in their municipal webpages to provide their citizens</w:t>
      </w:r>
    </w:p>
    <w:p>
      <w:pPr>
        <w:spacing w:after="0" w:line="259" w:lineRule="auto"/>
        <w:sectPr>
          <w:pgSz w:w="11910" w:h="16840"/>
          <w:pgMar w:header="0" w:footer="720" w:top="1340" w:bottom="900" w:left="700" w:right="100"/>
        </w:sectPr>
      </w:pPr>
    </w:p>
    <w:p>
      <w:pPr>
        <w:pStyle w:val="BodyText"/>
        <w:spacing w:line="259" w:lineRule="auto" w:before="80"/>
        <w:ind w:left="740" w:right="1365"/>
      </w:pPr>
      <w:r>
        <w:rPr>
          <w:color w:val="767070"/>
        </w:rPr>
        <w:t>with easy access to them. (Most of the municipalities noted in their responses in PRP’s questionnaire that the municipalities lack legal information for their citizens).</w:t>
      </w:r>
    </w:p>
    <w:p>
      <w:pPr>
        <w:pStyle w:val="BodyText"/>
        <w:spacing w:before="7"/>
        <w:rPr>
          <w:sz w:val="10"/>
        </w:rPr>
      </w:pPr>
      <w:r>
        <w:rPr/>
        <w:drawing>
          <wp:anchor distT="0" distB="0" distL="0" distR="0" allowOverlap="1" layoutInCell="1" locked="0" behindDoc="0" simplePos="0" relativeHeight="26">
            <wp:simplePos x="0" y="0"/>
            <wp:positionH relativeFrom="page">
              <wp:posOffset>914400</wp:posOffset>
            </wp:positionH>
            <wp:positionV relativeFrom="paragraph">
              <wp:posOffset>103203</wp:posOffset>
            </wp:positionV>
            <wp:extent cx="5810707" cy="3377946"/>
            <wp:effectExtent l="0" t="0" r="0" b="0"/>
            <wp:wrapTopAndBottom/>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41" cstate="print"/>
                    <a:stretch>
                      <a:fillRect/>
                    </a:stretch>
                  </pic:blipFill>
                  <pic:spPr>
                    <a:xfrm>
                      <a:off x="0" y="0"/>
                      <a:ext cx="5810707" cy="3377946"/>
                    </a:xfrm>
                    <a:prstGeom prst="rect">
                      <a:avLst/>
                    </a:prstGeom>
                  </pic:spPr>
                </pic:pic>
              </a:graphicData>
            </a:graphic>
          </wp:anchor>
        </w:drawing>
      </w:r>
    </w:p>
    <w:p>
      <w:pPr>
        <w:pStyle w:val="BodyText"/>
        <w:spacing w:line="259" w:lineRule="auto" w:before="5"/>
        <w:ind w:left="740" w:right="1607"/>
        <w:jc w:val="both"/>
      </w:pPr>
      <w:r>
        <w:rPr>
          <w:color w:val="767070"/>
        </w:rPr>
        <w:t>Thus far, eleven municipalities have published the brochures in their municipal webpages, although the Shtërpcë/ Štrpce site is currently off-line. Please note that the Serbian language versions of the municipal websites are under construction. Below are links to the municipalities’ web pages:</w:t>
      </w:r>
    </w:p>
    <w:p>
      <w:pPr>
        <w:pStyle w:val="BodyText"/>
        <w:spacing w:line="259" w:lineRule="auto" w:before="160"/>
        <w:ind w:left="740" w:right="1716"/>
      </w:pPr>
      <w:r>
        <w:rPr>
          <w:color w:val="767070"/>
        </w:rPr>
        <w:t>Prishtinë/Priština: </w:t>
      </w:r>
      <w:hyperlink r:id="rId42">
        <w:r>
          <w:rPr>
            <w:color w:val="2E5395"/>
            <w:u w:val="single" w:color="2E5395"/>
          </w:rPr>
          <w:t>http://prishtinaonline.com/uploads/alb_si_ta_regjistroj_pronen_te_cilen_porsa_e_kam_blere.pdf</w:t>
        </w:r>
      </w:hyperlink>
    </w:p>
    <w:p>
      <w:pPr>
        <w:pStyle w:val="BodyText"/>
        <w:spacing w:line="256" w:lineRule="auto" w:before="160"/>
        <w:ind w:left="740" w:right="1463"/>
      </w:pPr>
      <w:r>
        <w:rPr>
          <w:color w:val="767070"/>
        </w:rPr>
        <w:t>Fushë Kosovë/ Kosovo Polje</w:t>
      </w:r>
      <w:r>
        <w:rPr>
          <w:color w:val="2E5395"/>
        </w:rPr>
        <w:t>: </w:t>
      </w:r>
      <w:hyperlink r:id="rId43">
        <w:r>
          <w:rPr>
            <w:color w:val="2E5395"/>
            <w:u w:val="single" w:color="2E5395"/>
          </w:rPr>
          <w:t>https://kk.rks-gov.net/fushekosove/kadaster/udhezuesit-per-regjistrim-</w:t>
        </w:r>
      </w:hyperlink>
      <w:r>
        <w:rPr>
          <w:color w:val="2E5395"/>
        </w:rPr>
        <w:t> </w:t>
      </w:r>
      <w:hyperlink r:id="rId43">
        <w:r>
          <w:rPr>
            <w:color w:val="2E5395"/>
            <w:u w:val="single" w:color="2E5395"/>
          </w:rPr>
          <w:t>te-prones/</w:t>
        </w:r>
      </w:hyperlink>
    </w:p>
    <w:p>
      <w:pPr>
        <w:pStyle w:val="BodyText"/>
        <w:spacing w:before="119"/>
        <w:ind w:left="740"/>
      </w:pPr>
      <w:r>
        <w:rPr>
          <w:color w:val="767070"/>
        </w:rPr>
        <w:t>Viti/na: </w:t>
      </w:r>
      <w:r>
        <w:rPr>
          <w:color w:val="2E5395"/>
          <w:u w:val="single" w:color="2E5395"/>
        </w:rPr>
        <w:t>https://kk.rks-gov.net/viti/vitia-5/licensa/</w:t>
      </w:r>
    </w:p>
    <w:p>
      <w:pPr>
        <w:pStyle w:val="BodyText"/>
        <w:spacing w:line="367" w:lineRule="auto" w:before="138"/>
        <w:ind w:left="740" w:right="3519" w:firstLine="62"/>
      </w:pPr>
      <w:r>
        <w:rPr>
          <w:color w:val="767070"/>
        </w:rPr>
        <w:t>Dragash/Dragaš: </w:t>
      </w:r>
      <w:r>
        <w:rPr>
          <w:color w:val="2E5395"/>
          <w:u w:val="single" w:color="2E5395"/>
        </w:rPr>
        <w:t>https://kk.rks-gov.net/dragash/dragash-al/broshura/</w:t>
      </w:r>
      <w:r>
        <w:rPr>
          <w:color w:val="2E5395"/>
        </w:rPr>
        <w:t> </w:t>
      </w:r>
      <w:r>
        <w:rPr>
          <w:color w:val="767070"/>
        </w:rPr>
        <w:t>Gjakovë/ Đakovica:</w:t>
      </w:r>
      <w:hyperlink r:id="rId44">
        <w:r>
          <w:rPr>
            <w:color w:val="2E5395"/>
            <w:u w:val="single" w:color="2E5395"/>
          </w:rPr>
          <w:t> https://kk.rks-gov.net/gjakove/kadastri-3/dokumentet-dk/</w:t>
        </w:r>
      </w:hyperlink>
    </w:p>
    <w:p>
      <w:pPr>
        <w:pStyle w:val="BodyText"/>
        <w:spacing w:line="256" w:lineRule="auto" w:before="2"/>
        <w:ind w:left="740" w:right="5580"/>
      </w:pPr>
      <w:r>
        <w:rPr>
          <w:color w:val="767070"/>
          <w:u w:val="single" w:color="767070"/>
        </w:rPr>
        <w:t>Skenderaj/Srbica: </w:t>
      </w:r>
      <w:hyperlink r:id="rId45">
        <w:r>
          <w:rPr>
            <w:color w:val="2E5395"/>
            <w:u w:val="single" w:color="767070"/>
          </w:rPr>
          <w:t>https://kk.rks-gov.net/skenderaj/wp-</w:t>
        </w:r>
      </w:hyperlink>
      <w:r>
        <w:rPr>
          <w:color w:val="2E5395"/>
        </w:rPr>
        <w:t> </w:t>
      </w:r>
      <w:hyperlink r:id="rId45">
        <w:r>
          <w:rPr>
            <w:color w:val="2E5395"/>
            <w:u w:val="single" w:color="2E5395"/>
          </w:rPr>
          <w:t>content/uploads/sites/27/2018/08/combinepdf.pdf</w:t>
        </w:r>
      </w:hyperlink>
    </w:p>
    <w:p>
      <w:pPr>
        <w:pStyle w:val="BodyText"/>
        <w:spacing w:line="254" w:lineRule="auto" w:before="119"/>
        <w:ind w:left="740" w:right="3486" w:firstLine="62"/>
      </w:pPr>
      <w:r>
        <w:rPr>
          <w:color w:val="767070"/>
          <w:u w:val="single" w:color="767070"/>
        </w:rPr>
        <w:t>Mitrovicë/Kosovska Mitrovica: </w:t>
      </w:r>
      <w:hyperlink r:id="rId46">
        <w:r>
          <w:rPr>
            <w:color w:val="2E5395"/>
            <w:u w:val="single" w:color="767070"/>
          </w:rPr>
          <w:t>https://kk.rks-gov.net/mitroviceejugut/wp-</w:t>
        </w:r>
      </w:hyperlink>
      <w:r>
        <w:rPr>
          <w:color w:val="2E5395"/>
        </w:rPr>
        <w:t> </w:t>
      </w:r>
      <w:hyperlink r:id="rId46">
        <w:r>
          <w:rPr>
            <w:color w:val="2E5395"/>
            <w:u w:val="single" w:color="2E5395"/>
          </w:rPr>
          <w:t>content/uploads/sites/18/2018/01/Hapat-se-si-duhet-te-regjistrohet-prona.pdf</w:t>
        </w:r>
      </w:hyperlink>
    </w:p>
    <w:p>
      <w:pPr>
        <w:pStyle w:val="BodyText"/>
        <w:spacing w:line="367" w:lineRule="auto" w:before="124"/>
        <w:ind w:left="740" w:right="4954"/>
      </w:pPr>
      <w:r>
        <w:rPr>
          <w:color w:val="767070"/>
          <w:u w:val="single" w:color="767070"/>
        </w:rPr>
        <w:t>Klinë/Klina: </w:t>
      </w:r>
      <w:hyperlink r:id="rId47">
        <w:r>
          <w:rPr>
            <w:color w:val="2E5395"/>
            <w:u w:val="single" w:color="767070"/>
          </w:rPr>
          <w:t>https://kk.rks-gov.net/kline/category/dokumente/</w:t>
        </w:r>
      </w:hyperlink>
      <w:r>
        <w:rPr>
          <w:color w:val="2E5395"/>
        </w:rPr>
        <w:t> </w:t>
      </w:r>
      <w:r>
        <w:rPr>
          <w:color w:val="767070"/>
          <w:u w:val="single" w:color="767070"/>
        </w:rPr>
        <w:t>Istog/k: </w:t>
      </w:r>
      <w:hyperlink r:id="rId48">
        <w:r>
          <w:rPr>
            <w:color w:val="2E5395"/>
            <w:u w:val="single" w:color="767070"/>
          </w:rPr>
          <w:t>https://kk.rks-gov.net/istog/sherbimet/broshura/</w:t>
        </w:r>
      </w:hyperlink>
    </w:p>
    <w:p>
      <w:pPr>
        <w:pStyle w:val="BodyText"/>
        <w:spacing w:before="4"/>
        <w:ind w:left="740"/>
      </w:pPr>
      <w:r>
        <w:rPr>
          <w:color w:val="767070"/>
          <w:u w:val="single" w:color="767070"/>
        </w:rPr>
        <w:t>Malishevë/Mališevo: </w:t>
      </w:r>
      <w:hyperlink r:id="rId49">
        <w:r>
          <w:rPr>
            <w:color w:val="2E5395"/>
            <w:u w:val="single" w:color="767070"/>
          </w:rPr>
          <w:t>https://kk.rks-gov.net/malisheve/malisheve-2/broshura/</w:t>
        </w:r>
      </w:hyperlink>
    </w:p>
    <w:p>
      <w:pPr>
        <w:pStyle w:val="BodyText"/>
        <w:spacing w:line="259" w:lineRule="auto" w:before="136"/>
        <w:ind w:left="740" w:right="1404"/>
      </w:pPr>
      <w:r>
        <w:rPr>
          <w:b/>
          <w:color w:val="767070"/>
        </w:rPr>
        <w:t>Discussions with Acting CEO of the Kosovo Cadastral Agency (KCA). </w:t>
      </w:r>
      <w:r>
        <w:rPr>
          <w:color w:val="767070"/>
        </w:rPr>
        <w:t>PRP met with the Acting Chief Executive Officer of KCA, Mr. Avni Ahmeti, to discuss aspects of PRP’s work to date with municipalities and to apprise him of PRP’s next round of activities to support municipalities in matters related to property rights. PRP described the issues discussed with MCO’s at the regional workshops; and discussed plans to upgrade six e-kiosks to enable them to issue property ownership certificates. Mr. Avni was very helpful when PRP was seeking KCA support for e-kiosks that would</w:t>
      </w:r>
    </w:p>
    <w:p>
      <w:pPr>
        <w:spacing w:after="0" w:line="259" w:lineRule="auto"/>
        <w:sectPr>
          <w:pgSz w:w="11910" w:h="16840"/>
          <w:pgMar w:header="0" w:footer="720" w:top="1320" w:bottom="900" w:left="700" w:right="100"/>
        </w:sectPr>
      </w:pPr>
    </w:p>
    <w:p>
      <w:pPr>
        <w:pStyle w:val="BodyText"/>
        <w:spacing w:line="259" w:lineRule="auto" w:before="80"/>
        <w:ind w:left="740" w:right="1863"/>
      </w:pPr>
      <w:r>
        <w:rPr>
          <w:color w:val="767070"/>
        </w:rPr>
        <w:t>issue property certificates; and he reaffirmed the readiness of the KCA to support the work to upgrade additional e-kiosks and assigned a contact person for PRP’s subcontractors.</w:t>
      </w:r>
    </w:p>
    <w:p>
      <w:pPr>
        <w:pStyle w:val="BodyText"/>
        <w:spacing w:line="259" w:lineRule="auto" w:before="159"/>
        <w:ind w:left="740" w:right="1463"/>
      </w:pPr>
      <w:r>
        <w:rPr>
          <w:color w:val="767070"/>
        </w:rPr>
        <w:t>In addition, PRP used the opportunity to inform Mr. Ahmeti about its plans to assist some municipalities to lease their agricultural land on a commercial basis and requested the KCA for data on municipal holdings of agricultural land who promised cooperation with this, too.</w:t>
      </w:r>
    </w:p>
    <w:p>
      <w:pPr>
        <w:pStyle w:val="BodyText"/>
        <w:spacing w:line="259" w:lineRule="auto" w:before="160" w:after="21"/>
        <w:ind w:left="740" w:right="1933"/>
      </w:pPr>
      <w:r>
        <w:rPr>
          <w:color w:val="767070"/>
        </w:rPr>
        <w:t>The KCA has included information about this meeting on its website: </w:t>
      </w:r>
      <w:hyperlink r:id="rId50">
        <w:r>
          <w:rPr>
            <w:color w:val="767070"/>
            <w:u w:val="single" w:color="767070"/>
          </w:rPr>
          <w:t>http://www.kca-</w:t>
        </w:r>
      </w:hyperlink>
      <w:r>
        <w:rPr>
          <w:color w:val="767070"/>
        </w:rPr>
        <w:t> </w:t>
      </w:r>
      <w:hyperlink r:id="rId50">
        <w:r>
          <w:rPr>
            <w:color w:val="767070"/>
            <w:u w:val="single" w:color="767070"/>
          </w:rPr>
          <w:t>ks.org/web/10179/165</w:t>
        </w:r>
      </w:hyperlink>
    </w:p>
    <w:p>
      <w:pPr>
        <w:pStyle w:val="BodyText"/>
        <w:ind w:left="740"/>
        <w:rPr>
          <w:sz w:val="20"/>
        </w:rPr>
      </w:pPr>
      <w:r>
        <w:rPr>
          <w:sz w:val="20"/>
        </w:rPr>
        <w:drawing>
          <wp:inline distT="0" distB="0" distL="0" distR="0">
            <wp:extent cx="5847212" cy="2476500"/>
            <wp:effectExtent l="0" t="0" r="0" b="0"/>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51" cstate="print"/>
                    <a:stretch>
                      <a:fillRect/>
                    </a:stretch>
                  </pic:blipFill>
                  <pic:spPr>
                    <a:xfrm>
                      <a:off x="0" y="0"/>
                      <a:ext cx="5847212" cy="2476500"/>
                    </a:xfrm>
                    <a:prstGeom prst="rect">
                      <a:avLst/>
                    </a:prstGeom>
                  </pic:spPr>
                </pic:pic>
              </a:graphicData>
            </a:graphic>
          </wp:inline>
        </w:drawing>
      </w:r>
      <w:r>
        <w:rPr>
          <w:sz w:val="20"/>
        </w:rPr>
      </w:r>
    </w:p>
    <w:p>
      <w:pPr>
        <w:pStyle w:val="BodyText"/>
        <w:rPr>
          <w:sz w:val="26"/>
        </w:rPr>
      </w:pPr>
    </w:p>
    <w:p>
      <w:pPr>
        <w:pStyle w:val="BodyText"/>
        <w:spacing w:line="264" w:lineRule="auto" w:before="207"/>
        <w:ind w:left="740" w:right="1336"/>
      </w:pPr>
      <w:r>
        <w:rPr>
          <w:b/>
          <w:color w:val="767070"/>
        </w:rPr>
        <w:t>PRP Meets with New Acting Director of MCO in Viti/Vitina. </w:t>
      </w:r>
      <w:r>
        <w:rPr>
          <w:color w:val="767070"/>
        </w:rPr>
        <w:t>During this Quarter, Viti/Vitina municipality appointed a new acting director of the MCO and PRP used the opportunity to meet him and to inquire about the municipality’s plans to move into its new municipal building, where the archive refurbished by PRP is located. Owing to delays in the final stage of construction, no date has yet been set for the move.</w:t>
      </w:r>
    </w:p>
    <w:p>
      <w:pPr>
        <w:pStyle w:val="BodyText"/>
        <w:spacing w:before="215"/>
        <w:ind w:left="740"/>
      </w:pPr>
      <w:r>
        <w:rPr>
          <w:color w:val="B90C2E"/>
        </w:rPr>
        <w:t>SUPPORT TO SELECTED MUNICIPALITIES (TIER 2 SUPPORT)</w:t>
      </w:r>
    </w:p>
    <w:p>
      <w:pPr>
        <w:pStyle w:val="BodyText"/>
        <w:spacing w:before="3"/>
        <w:rPr>
          <w:sz w:val="23"/>
        </w:rPr>
      </w:pPr>
    </w:p>
    <w:p>
      <w:pPr>
        <w:pStyle w:val="BodyText"/>
        <w:spacing w:line="259" w:lineRule="auto"/>
        <w:ind w:left="740" w:right="1367"/>
      </w:pPr>
      <w:r>
        <w:rPr>
          <w:b/>
          <w:color w:val="767070"/>
        </w:rPr>
        <w:t>Second Generation of E-Kiosks Extended to Four Additional Municipalities. </w:t>
      </w:r>
      <w:r>
        <w:rPr>
          <w:color w:val="767070"/>
        </w:rPr>
        <w:t>PRP is extending its initiative to create “second generation” e-kiosks to include six existing e-kiosks in four municipalities: Prishtinë/Priština (two e-kiosks), Pejë/Peć (two e-kiosks), Vushtrri/Vučitrn (one) and Graçanicë/Gračanica (one). PRP took the decision to continue this initiative, following its successful creation of the new e-kiosk in Viti/na municipality. The six existing e-kiosks will be upgraded to issue property ownership certificate and certificate as proof for payment of property tax in addition to civil status documents.</w:t>
      </w:r>
    </w:p>
    <w:p>
      <w:pPr>
        <w:pStyle w:val="BodyText"/>
        <w:spacing w:line="259" w:lineRule="auto" w:before="160"/>
        <w:ind w:left="740" w:right="1436"/>
      </w:pPr>
      <w:r>
        <w:rPr>
          <w:color w:val="767070"/>
        </w:rPr>
        <w:t>PRP held a competitive procurement, selected and concluded contracts with two subcontractors to make the upgrades. The subcontractors have commenced developing the new software.</w:t>
      </w:r>
    </w:p>
    <w:p>
      <w:pPr>
        <w:pStyle w:val="BodyText"/>
        <w:spacing w:line="259" w:lineRule="auto" w:before="159"/>
        <w:ind w:left="740" w:right="1960"/>
      </w:pPr>
      <w:r>
        <w:rPr>
          <w:color w:val="767070"/>
        </w:rPr>
        <w:t>PRP has also facilitated cooperation between each sub-contractor and the KCA, to enable the subcontractors to establish links between the e-kiosks and the KCA land information system (KCLIS) required for the e-kiosks to issue property certificates.</w:t>
      </w:r>
    </w:p>
    <w:p>
      <w:pPr>
        <w:pStyle w:val="BodyText"/>
        <w:spacing w:line="256" w:lineRule="auto" w:before="119"/>
        <w:ind w:left="740" w:right="1409"/>
      </w:pPr>
      <w:r>
        <w:rPr>
          <w:color w:val="767070"/>
        </w:rPr>
        <w:t>PRP is also seeking to conclude arrangements with the MoF Property Tax Department so that the upgraded e-kiosks will be able to issue a document that provides proof of payment of property tax, which is required for property registration. This will mark another positive step to improve citizens’ ability to obtain official documents and facilitate property registration. PRP expects to complete this project before the end of this year.</w:t>
      </w:r>
    </w:p>
    <w:p>
      <w:pPr>
        <w:spacing w:after="0" w:line="256" w:lineRule="auto"/>
        <w:sectPr>
          <w:pgSz w:w="11910" w:h="16840"/>
          <w:pgMar w:header="0" w:footer="720" w:top="1320" w:bottom="900" w:left="700" w:right="100"/>
        </w:sectPr>
      </w:pPr>
    </w:p>
    <w:p>
      <w:pPr>
        <w:pStyle w:val="Heading5"/>
        <w:spacing w:before="67"/>
      </w:pPr>
      <w:r>
        <w:rPr>
          <w:color w:val="767070"/>
        </w:rPr>
        <w:t>Addressing the Backlog of Unregistered Transactions in Štrpce/Sht</w:t>
      </w:r>
      <w:r>
        <w:rPr>
          <w:rFonts w:ascii="Calibri" w:hAnsi="Calibri"/>
          <w:color w:val="767070"/>
        </w:rPr>
        <w:t>ë</w:t>
      </w:r>
      <w:r>
        <w:rPr>
          <w:color w:val="767070"/>
        </w:rPr>
        <w:t>rpc</w:t>
      </w:r>
      <w:r>
        <w:rPr>
          <w:rFonts w:ascii="Calibri" w:hAnsi="Calibri"/>
          <w:color w:val="767070"/>
        </w:rPr>
        <w:t>ë </w:t>
      </w:r>
      <w:r>
        <w:rPr>
          <w:color w:val="767070"/>
        </w:rPr>
        <w:t>Municipality.</w:t>
      </w:r>
    </w:p>
    <w:p>
      <w:pPr>
        <w:pStyle w:val="BodyText"/>
        <w:spacing w:before="10"/>
        <w:rPr>
          <w:b/>
          <w:sz w:val="24"/>
        </w:rPr>
      </w:pPr>
    </w:p>
    <w:p>
      <w:pPr>
        <w:pStyle w:val="BodyText"/>
        <w:spacing w:line="259" w:lineRule="auto"/>
        <w:ind w:left="740" w:right="8047"/>
      </w:pPr>
      <w:r>
        <w:rPr/>
        <w:pict>
          <v:shape style="position:absolute;margin-left:206.399994pt;margin-top:4.191208pt;width:308.350pt;height:80.8pt;mso-position-horizontal-relative:page;mso-position-vertical-relative:paragraph;z-index:1672" type="#_x0000_t202" filled="true" fillcolor="#b90c2e" stroked="true" strokeweight=".75pt" strokecolor="#c21139">
            <v:textbox inset="0,0,0,0">
              <w:txbxContent>
                <w:p>
                  <w:pPr>
                    <w:spacing w:line="244" w:lineRule="auto" w:before="50"/>
                    <w:ind w:left="144" w:right="1392" w:firstLine="0"/>
                    <w:jc w:val="left"/>
                    <w:rPr>
                      <w:b/>
                      <w:sz w:val="22"/>
                    </w:rPr>
                  </w:pPr>
                  <w:r>
                    <w:rPr>
                      <w:b/>
                      <w:color w:val="FFFFFF"/>
                      <w:sz w:val="22"/>
                    </w:rPr>
                    <w:t>The Backlog of Unregistered Transactions in Štrpce/Sht</w:t>
                  </w:r>
                  <w:r>
                    <w:rPr>
                      <w:rFonts w:ascii="Calibri" w:hAnsi="Calibri"/>
                      <w:b/>
                      <w:color w:val="FFFFFF"/>
                      <w:sz w:val="22"/>
                    </w:rPr>
                    <w:t>ë</w:t>
                  </w:r>
                  <w:r>
                    <w:rPr>
                      <w:b/>
                      <w:color w:val="FFFFFF"/>
                      <w:sz w:val="22"/>
                    </w:rPr>
                    <w:t>rpc</w:t>
                  </w:r>
                  <w:r>
                    <w:rPr>
                      <w:rFonts w:ascii="Calibri" w:hAnsi="Calibri"/>
                      <w:b/>
                      <w:color w:val="FFFFFF"/>
                      <w:sz w:val="22"/>
                    </w:rPr>
                    <w:t>ë </w:t>
                  </w:r>
                  <w:r>
                    <w:rPr>
                      <w:b/>
                      <w:color w:val="FFFFFF"/>
                      <w:sz w:val="22"/>
                    </w:rPr>
                    <w:t>Municipality:</w:t>
                  </w:r>
                </w:p>
                <w:p>
                  <w:pPr>
                    <w:spacing w:before="222"/>
                    <w:ind w:left="504" w:right="149" w:firstLine="0"/>
                    <w:jc w:val="left"/>
                    <w:rPr>
                      <w:b/>
                      <w:sz w:val="22"/>
                    </w:rPr>
                  </w:pPr>
                  <w:r>
                    <w:rPr>
                      <w:color w:val="FFFFFF"/>
                      <w:sz w:val="22"/>
                    </w:rPr>
                    <w:t>With PRP’s assistance, around </w:t>
                  </w:r>
                  <w:r>
                    <w:rPr>
                      <w:b/>
                      <w:color w:val="ACB8C9"/>
                      <w:sz w:val="22"/>
                    </w:rPr>
                    <w:t>4,400 files </w:t>
                  </w:r>
                  <w:r>
                    <w:rPr>
                      <w:color w:val="FFFFFF"/>
                      <w:sz w:val="22"/>
                    </w:rPr>
                    <w:t>have been entered into the KCLIS to date, out of an estimated </w:t>
                  </w:r>
                  <w:r>
                    <w:rPr>
                      <w:b/>
                      <w:color w:val="ACB8C9"/>
                      <w:sz w:val="22"/>
                    </w:rPr>
                    <w:t>5,000 total.</w:t>
                  </w:r>
                </w:p>
              </w:txbxContent>
            </v:textbox>
            <v:fill type="solid"/>
            <v:stroke dashstyle="solid"/>
            <w10:wrap type="none"/>
          </v:shape>
        </w:pict>
      </w:r>
      <w:r>
        <w:rPr>
          <w:color w:val="767070"/>
        </w:rPr>
        <w:t>PRP continued to provide STTA to the MCO to eliminate its large backlog of unregistered property transactions. To date around 4,400 files have been entered into the</w:t>
      </w:r>
    </w:p>
    <w:p>
      <w:pPr>
        <w:pStyle w:val="BodyText"/>
        <w:spacing w:line="254" w:lineRule="exact"/>
        <w:ind w:left="740"/>
      </w:pPr>
      <w:r>
        <w:rPr>
          <w:color w:val="767070"/>
        </w:rPr>
        <w:t>KCLIS, out of an estimated 5,000 total.</w:t>
      </w:r>
    </w:p>
    <w:p>
      <w:pPr>
        <w:pStyle w:val="BodyText"/>
        <w:spacing w:before="7"/>
        <w:rPr>
          <w:sz w:val="25"/>
        </w:rPr>
      </w:pPr>
    </w:p>
    <w:p>
      <w:pPr>
        <w:pStyle w:val="BodyText"/>
        <w:spacing w:line="259" w:lineRule="auto"/>
        <w:ind w:left="740" w:right="1670"/>
      </w:pPr>
      <w:r>
        <w:rPr>
          <w:color w:val="767070"/>
        </w:rPr>
        <w:t>The backlog arose when the Municipal Assembly issued an order prohibiting registration of inter- ethnic transactions. The order was subsequently nullified, but during that time the number of transactions that were submitted for registration accumulated, and the MCO did not have the resources to register them and attend to ongoing duties.</w:t>
      </w:r>
    </w:p>
    <w:p>
      <w:pPr>
        <w:pStyle w:val="BodyText"/>
        <w:spacing w:before="9"/>
        <w:rPr>
          <w:sz w:val="23"/>
        </w:rPr>
      </w:pPr>
    </w:p>
    <w:p>
      <w:pPr>
        <w:pStyle w:val="BodyText"/>
        <w:spacing w:line="259" w:lineRule="auto"/>
        <w:ind w:left="740" w:right="1340"/>
      </w:pPr>
      <w:r>
        <w:rPr>
          <w:color w:val="767070"/>
        </w:rPr>
        <w:t>In cases where the registration requires graphical (survey) changes in addition to textual changes, the cases are entered into the KCLIS notes as “cases in progress,” pending the entry of the corresponding graphical changes. In such instances, the registrations are searchable, although not complete. At present 1097 cases have been registered in this manner. Responsibility for preparing the graphical data lies with the municipality. PRP is urging the MCO Director to take necessary steps to complete the graphical part of the registrations and enable citizens to receive both property certificates and official copies of the plan for their parcels. MCO Director reported the municipality lacks resources to undertake this action and he has requested support from the KCA. Thus far, support has not been forthcoming.</w:t>
      </w:r>
    </w:p>
    <w:p>
      <w:pPr>
        <w:pStyle w:val="BodyText"/>
        <w:spacing w:before="7"/>
        <w:rPr>
          <w:sz w:val="23"/>
        </w:rPr>
      </w:pPr>
    </w:p>
    <w:p>
      <w:pPr>
        <w:pStyle w:val="BodyText"/>
        <w:spacing w:line="259" w:lineRule="auto"/>
        <w:ind w:left="740" w:right="1333"/>
        <w:jc w:val="both"/>
      </w:pPr>
      <w:r>
        <w:rPr>
          <w:b/>
          <w:color w:val="767070"/>
        </w:rPr>
        <w:t>Municipalities Selected for Leasing Initiative. </w:t>
      </w:r>
      <w:r>
        <w:rPr>
          <w:color w:val="767070"/>
        </w:rPr>
        <w:t>PRP is developing an initiative to assist targeted municipalities in leasing municipal arable land to the private sector. Following the conclusion of the regional</w:t>
      </w:r>
      <w:r>
        <w:rPr>
          <w:color w:val="767070"/>
          <w:spacing w:val="-7"/>
        </w:rPr>
        <w:t> </w:t>
      </w:r>
      <w:r>
        <w:rPr>
          <w:color w:val="767070"/>
        </w:rPr>
        <w:t>workshops</w:t>
      </w:r>
      <w:r>
        <w:rPr>
          <w:color w:val="767070"/>
          <w:spacing w:val="-8"/>
        </w:rPr>
        <w:t> </w:t>
      </w:r>
      <w:r>
        <w:rPr>
          <w:color w:val="767070"/>
        </w:rPr>
        <w:t>with</w:t>
      </w:r>
      <w:r>
        <w:rPr>
          <w:color w:val="767070"/>
          <w:spacing w:val="-10"/>
        </w:rPr>
        <w:t> </w:t>
      </w:r>
      <w:r>
        <w:rPr>
          <w:color w:val="767070"/>
        </w:rPr>
        <w:t>MCO’s,</w:t>
      </w:r>
      <w:r>
        <w:rPr>
          <w:color w:val="767070"/>
          <w:spacing w:val="-7"/>
        </w:rPr>
        <w:t> </w:t>
      </w:r>
      <w:r>
        <w:rPr>
          <w:color w:val="767070"/>
        </w:rPr>
        <w:t>PRP</w:t>
      </w:r>
      <w:r>
        <w:rPr>
          <w:color w:val="767070"/>
          <w:spacing w:val="-8"/>
        </w:rPr>
        <w:t> </w:t>
      </w:r>
      <w:r>
        <w:rPr>
          <w:color w:val="767070"/>
        </w:rPr>
        <w:t>made</w:t>
      </w:r>
      <w:r>
        <w:rPr>
          <w:color w:val="767070"/>
          <w:spacing w:val="-8"/>
        </w:rPr>
        <w:t> </w:t>
      </w:r>
      <w:r>
        <w:rPr>
          <w:color w:val="767070"/>
        </w:rPr>
        <w:t>fact-finding</w:t>
      </w:r>
      <w:r>
        <w:rPr>
          <w:color w:val="767070"/>
          <w:spacing w:val="-7"/>
        </w:rPr>
        <w:t> </w:t>
      </w:r>
      <w:r>
        <w:rPr>
          <w:color w:val="767070"/>
        </w:rPr>
        <w:t>trips</w:t>
      </w:r>
      <w:r>
        <w:rPr>
          <w:color w:val="767070"/>
          <w:spacing w:val="-10"/>
        </w:rPr>
        <w:t> </w:t>
      </w:r>
      <w:r>
        <w:rPr>
          <w:color w:val="767070"/>
        </w:rPr>
        <w:t>to</w:t>
      </w:r>
      <w:r>
        <w:rPr>
          <w:color w:val="767070"/>
          <w:spacing w:val="-6"/>
        </w:rPr>
        <w:t> </w:t>
      </w:r>
      <w:r>
        <w:rPr>
          <w:color w:val="767070"/>
        </w:rPr>
        <w:t>ten</w:t>
      </w:r>
      <w:r>
        <w:rPr>
          <w:color w:val="767070"/>
          <w:spacing w:val="-9"/>
        </w:rPr>
        <w:t> </w:t>
      </w:r>
      <w:r>
        <w:rPr>
          <w:color w:val="767070"/>
        </w:rPr>
        <w:t>potential</w:t>
      </w:r>
      <w:r>
        <w:rPr>
          <w:color w:val="767070"/>
          <w:spacing w:val="-9"/>
        </w:rPr>
        <w:t> </w:t>
      </w:r>
      <w:r>
        <w:rPr>
          <w:color w:val="767070"/>
        </w:rPr>
        <w:t>partner</w:t>
      </w:r>
      <w:r>
        <w:rPr>
          <w:color w:val="767070"/>
          <w:spacing w:val="-6"/>
        </w:rPr>
        <w:t> </w:t>
      </w:r>
      <w:r>
        <w:rPr>
          <w:color w:val="767070"/>
        </w:rPr>
        <w:t>municipalities</w:t>
      </w:r>
      <w:r>
        <w:rPr>
          <w:color w:val="767070"/>
          <w:spacing w:val="-10"/>
        </w:rPr>
        <w:t> </w:t>
      </w:r>
      <w:r>
        <w:rPr>
          <w:color w:val="767070"/>
        </w:rPr>
        <w:t>to ascertain their officials’ level of support for this initiative. PRP also consulted with USAID AGRO, USAID</w:t>
      </w:r>
      <w:r>
        <w:rPr>
          <w:color w:val="767070"/>
          <w:spacing w:val="-11"/>
        </w:rPr>
        <w:t> </w:t>
      </w:r>
      <w:r>
        <w:rPr>
          <w:color w:val="767070"/>
        </w:rPr>
        <w:t>EMPOWER,</w:t>
      </w:r>
      <w:r>
        <w:rPr>
          <w:color w:val="767070"/>
          <w:spacing w:val="-10"/>
        </w:rPr>
        <w:t> </w:t>
      </w:r>
      <w:r>
        <w:rPr>
          <w:color w:val="767070"/>
        </w:rPr>
        <w:t>USAID</w:t>
      </w:r>
      <w:r>
        <w:rPr>
          <w:color w:val="767070"/>
          <w:spacing w:val="-12"/>
        </w:rPr>
        <w:t> </w:t>
      </w:r>
      <w:r>
        <w:rPr>
          <w:color w:val="767070"/>
        </w:rPr>
        <w:t>P4D</w:t>
      </w:r>
      <w:r>
        <w:rPr>
          <w:color w:val="767070"/>
          <w:spacing w:val="-12"/>
        </w:rPr>
        <w:t> </w:t>
      </w:r>
      <w:r>
        <w:rPr>
          <w:color w:val="767070"/>
        </w:rPr>
        <w:t>and</w:t>
      </w:r>
      <w:r>
        <w:rPr>
          <w:color w:val="767070"/>
          <w:spacing w:val="-10"/>
        </w:rPr>
        <w:t> </w:t>
      </w:r>
      <w:r>
        <w:rPr>
          <w:color w:val="767070"/>
        </w:rPr>
        <w:t>USAID</w:t>
      </w:r>
      <w:r>
        <w:rPr>
          <w:color w:val="767070"/>
          <w:spacing w:val="-10"/>
        </w:rPr>
        <w:t> </w:t>
      </w:r>
      <w:r>
        <w:rPr>
          <w:color w:val="767070"/>
        </w:rPr>
        <w:t>AKT-LS.</w:t>
      </w:r>
      <w:r>
        <w:rPr>
          <w:color w:val="767070"/>
          <w:spacing w:val="-15"/>
        </w:rPr>
        <w:t> </w:t>
      </w:r>
      <w:r>
        <w:rPr>
          <w:color w:val="767070"/>
        </w:rPr>
        <w:t>On</w:t>
      </w:r>
      <w:r>
        <w:rPr>
          <w:color w:val="767070"/>
          <w:spacing w:val="-12"/>
        </w:rPr>
        <w:t> </w:t>
      </w:r>
      <w:r>
        <w:rPr>
          <w:color w:val="767070"/>
        </w:rPr>
        <w:t>the</w:t>
      </w:r>
      <w:r>
        <w:rPr>
          <w:color w:val="767070"/>
          <w:spacing w:val="-12"/>
        </w:rPr>
        <w:t> </w:t>
      </w:r>
      <w:r>
        <w:rPr>
          <w:color w:val="767070"/>
        </w:rPr>
        <w:t>basis</w:t>
      </w:r>
      <w:r>
        <w:rPr>
          <w:color w:val="767070"/>
          <w:spacing w:val="-14"/>
        </w:rPr>
        <w:t> </w:t>
      </w:r>
      <w:r>
        <w:rPr>
          <w:color w:val="767070"/>
        </w:rPr>
        <w:t>of</w:t>
      </w:r>
      <w:r>
        <w:rPr>
          <w:color w:val="767070"/>
          <w:spacing w:val="-9"/>
        </w:rPr>
        <w:t> </w:t>
      </w:r>
      <w:r>
        <w:rPr>
          <w:color w:val="767070"/>
        </w:rPr>
        <w:t>its</w:t>
      </w:r>
      <w:r>
        <w:rPr>
          <w:color w:val="767070"/>
          <w:spacing w:val="-11"/>
        </w:rPr>
        <w:t> </w:t>
      </w:r>
      <w:r>
        <w:rPr>
          <w:color w:val="767070"/>
        </w:rPr>
        <w:t>findings,</w:t>
      </w:r>
      <w:r>
        <w:rPr>
          <w:color w:val="767070"/>
          <w:spacing w:val="-13"/>
        </w:rPr>
        <w:t> </w:t>
      </w:r>
      <w:r>
        <w:rPr>
          <w:color w:val="767070"/>
        </w:rPr>
        <w:t>USAID</w:t>
      </w:r>
      <w:r>
        <w:rPr>
          <w:color w:val="767070"/>
          <w:spacing w:val="-10"/>
        </w:rPr>
        <w:t> </w:t>
      </w:r>
      <w:r>
        <w:rPr>
          <w:color w:val="767070"/>
        </w:rPr>
        <w:t>has</w:t>
      </w:r>
      <w:r>
        <w:rPr>
          <w:color w:val="767070"/>
          <w:spacing w:val="-13"/>
        </w:rPr>
        <w:t> </w:t>
      </w:r>
      <w:r>
        <w:rPr>
          <w:color w:val="767070"/>
        </w:rPr>
        <w:t>approved six partner municipalities including Gjakovë, Peje, Gracanicë, Shtime, Malisheve and</w:t>
      </w:r>
      <w:r>
        <w:rPr>
          <w:color w:val="767070"/>
          <w:spacing w:val="-12"/>
        </w:rPr>
        <w:t> </w:t>
      </w:r>
      <w:r>
        <w:rPr>
          <w:color w:val="767070"/>
        </w:rPr>
        <w:t>Istog.</w:t>
      </w:r>
    </w:p>
    <w:p>
      <w:pPr>
        <w:pStyle w:val="BodyText"/>
        <w:spacing w:line="259" w:lineRule="auto" w:before="159"/>
        <w:ind w:left="740" w:right="1431"/>
      </w:pPr>
      <w:r>
        <w:rPr>
          <w:b/>
          <w:color w:val="6C6362"/>
        </w:rPr>
        <w:t>Analyzing Challenges in Land Consolidation</w:t>
      </w:r>
      <w:r>
        <w:rPr>
          <w:color w:val="6C6362"/>
        </w:rPr>
        <w:t>. The NSPR cites the objectives of increasing agricultural productivity and economic growth in Kosovo’s agricultural sector. Land consolidation can greatly further these objectives by bringing increased efficiency and economies of scale to small holdings. But land consolidation in Kosovo faces serious challenges, most principally, informal property rights</w:t>
      </w:r>
      <w:r>
        <w:rPr>
          <w:b/>
          <w:color w:val="6C6362"/>
        </w:rPr>
        <w:t>. </w:t>
      </w:r>
      <w:r>
        <w:rPr>
          <w:color w:val="6C6362"/>
        </w:rPr>
        <w:t>Many parcels cannot be included in a land consolidation schemes are not registered to the current “owners” who are using the land, owing to the absence of a formal transfer of property rights through inheritance or to the lack of a written contract evidencing the purchase.</w:t>
      </w:r>
    </w:p>
    <w:p>
      <w:pPr>
        <w:pStyle w:val="BodyText"/>
        <w:spacing w:before="6"/>
        <w:rPr>
          <w:sz w:val="20"/>
        </w:rPr>
      </w:pPr>
    </w:p>
    <w:p>
      <w:pPr>
        <w:pStyle w:val="BodyText"/>
        <w:spacing w:line="259" w:lineRule="auto" w:before="1"/>
        <w:ind w:left="740" w:right="1384"/>
      </w:pPr>
      <w:r>
        <w:rPr>
          <w:color w:val="6C6362"/>
        </w:rPr>
        <w:t>PRP has developed close contacts with the Ministry of Agriculture (MoA), which is responsible for land consolidation, and with the GiZ project that is assisting the MoA in this area. PRP has agreed to assist in amending the current Law on Land Consolidation. PRP developed its own analysis and recommendations of the key issues that should be addressed. These include;</w:t>
      </w:r>
    </w:p>
    <w:p>
      <w:pPr>
        <w:pStyle w:val="BodyText"/>
        <w:spacing w:before="7"/>
        <w:rPr>
          <w:sz w:val="20"/>
        </w:rPr>
      </w:pPr>
    </w:p>
    <w:p>
      <w:pPr>
        <w:pStyle w:val="ListParagraph"/>
        <w:numPr>
          <w:ilvl w:val="1"/>
          <w:numId w:val="4"/>
        </w:numPr>
        <w:tabs>
          <w:tab w:pos="1460" w:val="left" w:leader="none"/>
          <w:tab w:pos="1461" w:val="left" w:leader="none"/>
        </w:tabs>
        <w:spacing w:line="259" w:lineRule="auto" w:before="0" w:after="0"/>
        <w:ind w:left="1460" w:right="1420" w:hanging="360"/>
        <w:jc w:val="left"/>
        <w:rPr>
          <w:sz w:val="22"/>
        </w:rPr>
      </w:pPr>
      <w:r>
        <w:rPr>
          <w:color w:val="767070"/>
          <w:sz w:val="22"/>
        </w:rPr>
        <w:t>Expanding the mandate of the Land Consolidation Commissions to authorize them to formalize informal property rights; and revising the composition of the Commissions, e.g. by including a judge, to support this additional</w:t>
      </w:r>
      <w:r>
        <w:rPr>
          <w:color w:val="767070"/>
          <w:spacing w:val="-7"/>
          <w:sz w:val="22"/>
        </w:rPr>
        <w:t> </w:t>
      </w:r>
      <w:r>
        <w:rPr>
          <w:color w:val="767070"/>
          <w:sz w:val="22"/>
        </w:rPr>
        <w:t>mandate.</w:t>
      </w:r>
    </w:p>
    <w:p>
      <w:pPr>
        <w:pStyle w:val="ListParagraph"/>
        <w:numPr>
          <w:ilvl w:val="1"/>
          <w:numId w:val="4"/>
        </w:numPr>
        <w:tabs>
          <w:tab w:pos="1460" w:val="left" w:leader="none"/>
          <w:tab w:pos="1461" w:val="left" w:leader="none"/>
        </w:tabs>
        <w:spacing w:line="240" w:lineRule="auto" w:before="118" w:after="0"/>
        <w:ind w:left="1460" w:right="0" w:hanging="360"/>
        <w:jc w:val="left"/>
        <w:rPr>
          <w:sz w:val="22"/>
        </w:rPr>
      </w:pPr>
      <w:r>
        <w:rPr>
          <w:color w:val="767070"/>
          <w:sz w:val="22"/>
        </w:rPr>
        <w:t>Subsidizing notary</w:t>
      </w:r>
      <w:r>
        <w:rPr>
          <w:color w:val="767070"/>
          <w:spacing w:val="-2"/>
          <w:sz w:val="22"/>
        </w:rPr>
        <w:t> </w:t>
      </w:r>
      <w:r>
        <w:rPr>
          <w:color w:val="767070"/>
          <w:sz w:val="22"/>
        </w:rPr>
        <w:t>fees.</w:t>
      </w:r>
    </w:p>
    <w:p>
      <w:pPr>
        <w:spacing w:after="0" w:line="240" w:lineRule="auto"/>
        <w:jc w:val="left"/>
        <w:rPr>
          <w:sz w:val="22"/>
        </w:rPr>
        <w:sectPr>
          <w:pgSz w:w="11910" w:h="16840"/>
          <w:pgMar w:header="0" w:footer="720" w:top="1340" w:bottom="900" w:left="700" w:right="100"/>
        </w:sectPr>
      </w:pPr>
    </w:p>
    <w:p>
      <w:pPr>
        <w:pStyle w:val="ListParagraph"/>
        <w:numPr>
          <w:ilvl w:val="1"/>
          <w:numId w:val="4"/>
        </w:numPr>
        <w:tabs>
          <w:tab w:pos="1460" w:val="left" w:leader="none"/>
          <w:tab w:pos="1461" w:val="left" w:leader="none"/>
        </w:tabs>
        <w:spacing w:line="240" w:lineRule="auto" w:before="80" w:after="0"/>
        <w:ind w:left="1460" w:right="0" w:hanging="360"/>
        <w:jc w:val="left"/>
        <w:rPr>
          <w:sz w:val="22"/>
        </w:rPr>
      </w:pPr>
      <w:r>
        <w:rPr>
          <w:color w:val="767070"/>
          <w:sz w:val="22"/>
        </w:rPr>
        <w:t>Facilitating purchases and sales between land consolidation</w:t>
      </w:r>
      <w:r>
        <w:rPr>
          <w:color w:val="767070"/>
          <w:spacing w:val="-14"/>
          <w:sz w:val="22"/>
        </w:rPr>
        <w:t> </w:t>
      </w:r>
      <w:r>
        <w:rPr>
          <w:color w:val="767070"/>
          <w:sz w:val="22"/>
        </w:rPr>
        <w:t>participants.</w:t>
      </w:r>
    </w:p>
    <w:p>
      <w:pPr>
        <w:pStyle w:val="ListParagraph"/>
        <w:numPr>
          <w:ilvl w:val="1"/>
          <w:numId w:val="4"/>
        </w:numPr>
        <w:tabs>
          <w:tab w:pos="1460" w:val="left" w:leader="none"/>
          <w:tab w:pos="1461" w:val="left" w:leader="none"/>
        </w:tabs>
        <w:spacing w:line="256" w:lineRule="auto" w:before="141" w:after="0"/>
        <w:ind w:left="1460" w:right="1864" w:hanging="360"/>
        <w:jc w:val="left"/>
        <w:rPr>
          <w:sz w:val="22"/>
        </w:rPr>
      </w:pPr>
      <w:r>
        <w:rPr>
          <w:color w:val="767070"/>
          <w:sz w:val="22"/>
        </w:rPr>
        <w:t>Clearly defining the methodology to be followed, e.g., whether a majority of holders by acreage can obligate others to participate in the land consolidation</w:t>
      </w:r>
      <w:r>
        <w:rPr>
          <w:color w:val="767070"/>
          <w:spacing w:val="-14"/>
          <w:sz w:val="22"/>
        </w:rPr>
        <w:t> </w:t>
      </w:r>
      <w:r>
        <w:rPr>
          <w:color w:val="767070"/>
          <w:sz w:val="22"/>
        </w:rPr>
        <w:t>scheme.</w:t>
      </w:r>
    </w:p>
    <w:p>
      <w:pPr>
        <w:pStyle w:val="ListParagraph"/>
        <w:numPr>
          <w:ilvl w:val="1"/>
          <w:numId w:val="4"/>
        </w:numPr>
        <w:tabs>
          <w:tab w:pos="1460" w:val="left" w:leader="none"/>
          <w:tab w:pos="1461" w:val="left" w:leader="none"/>
        </w:tabs>
        <w:spacing w:line="259" w:lineRule="auto" w:before="122" w:after="0"/>
        <w:ind w:left="1460" w:right="2080" w:hanging="360"/>
        <w:jc w:val="left"/>
        <w:rPr>
          <w:sz w:val="22"/>
        </w:rPr>
      </w:pPr>
      <w:r>
        <w:rPr>
          <w:color w:val="767070"/>
          <w:sz w:val="22"/>
        </w:rPr>
        <w:t>Providing robust requirements for notifying landowners about the land consolidation initiative.</w:t>
      </w:r>
    </w:p>
    <w:p>
      <w:pPr>
        <w:pStyle w:val="BodyText"/>
        <w:spacing w:line="256" w:lineRule="auto" w:before="120"/>
        <w:ind w:left="740" w:right="1406"/>
      </w:pPr>
      <w:r>
        <w:rPr>
          <w:color w:val="767070"/>
        </w:rPr>
        <w:t>PRP has provided this analysis to the MoA and GiZ projects and will support them in developing the Concept Document on the new </w:t>
      </w:r>
      <w:r>
        <w:rPr>
          <w:color w:val="6C6362"/>
        </w:rPr>
        <w:t>Law on Land Consolidation.</w:t>
      </w:r>
    </w:p>
    <w:p>
      <w:pPr>
        <w:spacing w:after="0" w:line="256" w:lineRule="auto"/>
        <w:sectPr>
          <w:pgSz w:w="11910" w:h="16840"/>
          <w:pgMar w:header="0" w:footer="720" w:top="1320" w:bottom="900" w:left="700" w:right="100"/>
        </w:sectPr>
      </w:pPr>
    </w:p>
    <w:p>
      <w:pPr>
        <w:pStyle w:val="BodyText"/>
        <w:spacing w:before="10"/>
        <w:rPr>
          <w:sz w:val="27"/>
        </w:rPr>
      </w:pPr>
      <w:r>
        <w:rPr/>
        <w:pict>
          <v:group style="position:absolute;margin-left:689.73999pt;margin-top:203.210007pt;width:.5pt;height:240.35pt;mso-position-horizontal-relative:page;mso-position-vertical-relative:page;z-index:-65464" coordorigin="13795,4064" coordsize="10,4807">
            <v:shape style="position:absolute;left:13794;top:4064;width:10;height:1602" type="#_x0000_t75" stroked="false">
              <v:imagedata r:id="rId53" o:title=""/>
            </v:shape>
            <v:shape style="position:absolute;left:13794;top:5665;width:10;height:1611" type="#_x0000_t75" stroked="false">
              <v:imagedata r:id="rId54" o:title=""/>
            </v:shape>
            <v:shape style="position:absolute;left:13794;top:7275;width:10;height:1595" type="#_x0000_t75" stroked="false">
              <v:imagedata r:id="rId55" o:title=""/>
            </v:shape>
            <w10:wrap type="none"/>
          </v:group>
        </w:pict>
      </w:r>
    </w:p>
    <w:p>
      <w:pPr>
        <w:pStyle w:val="Heading3"/>
        <w:spacing w:before="101"/>
        <w:ind w:left="100"/>
      </w:pPr>
      <w:bookmarkStart w:name="_bookmark19" w:id="20"/>
      <w:bookmarkEnd w:id="20"/>
      <w:r>
        <w:rPr>
          <w:b w:val="0"/>
        </w:rPr>
      </w:r>
      <w:r>
        <w:rPr>
          <w:color w:val="C21139"/>
        </w:rPr>
        <w:t>PROJECT SPECIFIC PERFORMANCE INDICATORS</w:t>
      </w:r>
    </w:p>
    <w:p>
      <w:pPr>
        <w:pStyle w:val="BodyText"/>
        <w:spacing w:before="10"/>
        <w:rPr>
          <w:b/>
          <w:sz w:val="1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6"/>
        <w:gridCol w:w="5831"/>
        <w:gridCol w:w="1621"/>
        <w:gridCol w:w="1738"/>
        <w:gridCol w:w="1530"/>
      </w:tblGrid>
      <w:tr>
        <w:trPr>
          <w:trHeight w:val="1752" w:hRule="atLeast"/>
        </w:trPr>
        <w:tc>
          <w:tcPr>
            <w:tcW w:w="3166" w:type="dxa"/>
            <w:tcBorders>
              <w:right w:val="single" w:sz="4" w:space="0" w:color="FFFFFF"/>
            </w:tcBorders>
            <w:shd w:val="clear" w:color="auto" w:fill="002A6C"/>
          </w:tcPr>
          <w:p>
            <w:pPr>
              <w:pStyle w:val="TableParagraph"/>
              <w:rPr>
                <w:b/>
                <w:sz w:val="28"/>
              </w:rPr>
            </w:pPr>
          </w:p>
          <w:p>
            <w:pPr>
              <w:pStyle w:val="TableParagraph"/>
              <w:rPr>
                <w:b/>
                <w:sz w:val="33"/>
              </w:rPr>
            </w:pPr>
          </w:p>
          <w:p>
            <w:pPr>
              <w:pStyle w:val="TableParagraph"/>
              <w:ind w:left="305"/>
              <w:rPr>
                <w:b/>
                <w:sz w:val="24"/>
              </w:rPr>
            </w:pPr>
            <w:r>
              <w:rPr>
                <w:b/>
                <w:color w:val="FFFFFF"/>
                <w:sz w:val="24"/>
              </w:rPr>
              <w:t>Performance Indicator</w:t>
            </w:r>
          </w:p>
        </w:tc>
        <w:tc>
          <w:tcPr>
            <w:tcW w:w="5831" w:type="dxa"/>
            <w:tcBorders>
              <w:left w:val="single" w:sz="4" w:space="0" w:color="FFFFFF"/>
              <w:right w:val="single" w:sz="4" w:space="0" w:color="FFFFFF"/>
            </w:tcBorders>
            <w:shd w:val="clear" w:color="auto" w:fill="002A6C"/>
          </w:tcPr>
          <w:p>
            <w:pPr>
              <w:pStyle w:val="TableParagraph"/>
              <w:rPr>
                <w:b/>
                <w:sz w:val="28"/>
              </w:rPr>
            </w:pPr>
          </w:p>
          <w:p>
            <w:pPr>
              <w:pStyle w:val="TableParagraph"/>
              <w:rPr>
                <w:b/>
                <w:sz w:val="33"/>
              </w:rPr>
            </w:pPr>
          </w:p>
          <w:p>
            <w:pPr>
              <w:pStyle w:val="TableParagraph"/>
              <w:ind w:left="2414" w:right="2408"/>
              <w:jc w:val="center"/>
              <w:rPr>
                <w:b/>
                <w:sz w:val="24"/>
              </w:rPr>
            </w:pPr>
            <w:r>
              <w:rPr>
                <w:b/>
                <w:color w:val="FFFFFF"/>
                <w:sz w:val="24"/>
              </w:rPr>
              <w:t>DO &amp; IR</w:t>
            </w:r>
          </w:p>
        </w:tc>
        <w:tc>
          <w:tcPr>
            <w:tcW w:w="1621" w:type="dxa"/>
            <w:tcBorders>
              <w:left w:val="single" w:sz="4" w:space="0" w:color="FFFFFF"/>
              <w:right w:val="single" w:sz="4" w:space="0" w:color="FFFFFF"/>
            </w:tcBorders>
            <w:shd w:val="clear" w:color="auto" w:fill="C21139"/>
          </w:tcPr>
          <w:p>
            <w:pPr>
              <w:pStyle w:val="TableParagraph"/>
              <w:rPr>
                <w:b/>
                <w:sz w:val="28"/>
              </w:rPr>
            </w:pPr>
          </w:p>
          <w:p>
            <w:pPr>
              <w:pStyle w:val="TableParagraph"/>
              <w:spacing w:before="244"/>
              <w:ind w:left="321" w:right="316"/>
              <w:jc w:val="center"/>
              <w:rPr>
                <w:b/>
                <w:sz w:val="24"/>
              </w:rPr>
            </w:pPr>
            <w:r>
              <w:rPr>
                <w:b/>
                <w:color w:val="FFFFFF"/>
                <w:sz w:val="24"/>
              </w:rPr>
              <w:t>Baseline</w:t>
            </w:r>
          </w:p>
        </w:tc>
        <w:tc>
          <w:tcPr>
            <w:tcW w:w="1738" w:type="dxa"/>
            <w:tcBorders>
              <w:left w:val="single" w:sz="4" w:space="0" w:color="FFFFFF"/>
              <w:right w:val="single" w:sz="4" w:space="0" w:color="FFFFFF"/>
            </w:tcBorders>
            <w:shd w:val="clear" w:color="auto" w:fill="C21139"/>
          </w:tcPr>
          <w:p>
            <w:pPr>
              <w:pStyle w:val="TableParagraph"/>
              <w:rPr>
                <w:b/>
                <w:sz w:val="28"/>
              </w:rPr>
            </w:pPr>
          </w:p>
          <w:p>
            <w:pPr>
              <w:pStyle w:val="TableParagraph"/>
              <w:spacing w:before="203"/>
              <w:ind w:left="232" w:right="226"/>
              <w:jc w:val="center"/>
              <w:rPr>
                <w:b/>
                <w:sz w:val="24"/>
              </w:rPr>
            </w:pPr>
            <w:r>
              <w:rPr>
                <w:b/>
                <w:color w:val="FFFFFF"/>
                <w:sz w:val="24"/>
              </w:rPr>
              <w:t>Target</w:t>
            </w:r>
          </w:p>
          <w:p>
            <w:pPr>
              <w:pStyle w:val="TableParagraph"/>
              <w:spacing w:before="18"/>
              <w:ind w:left="232" w:right="229"/>
              <w:jc w:val="center"/>
              <w:rPr>
                <w:b/>
                <w:sz w:val="12"/>
              </w:rPr>
            </w:pPr>
            <w:r>
              <w:rPr>
                <w:b/>
                <w:color w:val="FFFFFF"/>
                <w:sz w:val="12"/>
              </w:rPr>
              <w:t>(</w:t>
            </w:r>
            <w:r>
              <w:rPr>
                <w:b/>
                <w:i/>
                <w:color w:val="FFFFFF"/>
                <w:sz w:val="12"/>
              </w:rPr>
              <w:t>Life of Project-Target</w:t>
            </w:r>
            <w:r>
              <w:rPr>
                <w:b/>
                <w:color w:val="FFFFFF"/>
                <w:sz w:val="12"/>
              </w:rPr>
              <w:t>)</w:t>
            </w:r>
          </w:p>
        </w:tc>
        <w:tc>
          <w:tcPr>
            <w:tcW w:w="1530" w:type="dxa"/>
            <w:tcBorders>
              <w:left w:val="single" w:sz="4" w:space="0" w:color="FFFFFF"/>
              <w:right w:val="nil"/>
            </w:tcBorders>
            <w:shd w:val="clear" w:color="auto" w:fill="C21139"/>
          </w:tcPr>
          <w:p>
            <w:pPr>
              <w:pStyle w:val="TableParagraph"/>
              <w:rPr>
                <w:b/>
                <w:sz w:val="28"/>
              </w:rPr>
            </w:pPr>
          </w:p>
          <w:p>
            <w:pPr>
              <w:pStyle w:val="TableParagraph"/>
              <w:spacing w:before="203"/>
              <w:ind w:left="134" w:right="133"/>
              <w:jc w:val="center"/>
              <w:rPr>
                <w:b/>
                <w:sz w:val="24"/>
              </w:rPr>
            </w:pPr>
            <w:r>
              <w:rPr>
                <w:b/>
                <w:color w:val="FFFFFF"/>
                <w:sz w:val="24"/>
              </w:rPr>
              <w:t>Actual</w:t>
            </w:r>
          </w:p>
          <w:p>
            <w:pPr>
              <w:pStyle w:val="TableParagraph"/>
              <w:spacing w:before="18"/>
              <w:ind w:left="134" w:right="134"/>
              <w:jc w:val="center"/>
              <w:rPr>
                <w:b/>
                <w:sz w:val="12"/>
              </w:rPr>
            </w:pPr>
            <w:r>
              <w:rPr>
                <w:b/>
                <w:color w:val="FFFFFF"/>
                <w:sz w:val="12"/>
              </w:rPr>
              <w:t>(</w:t>
            </w:r>
            <w:r>
              <w:rPr>
                <w:b/>
                <w:i/>
                <w:color w:val="FFFFFF"/>
                <w:sz w:val="12"/>
              </w:rPr>
              <w:t>Life of Project-Actual</w:t>
            </w:r>
            <w:r>
              <w:rPr>
                <w:b/>
                <w:color w:val="FFFFFF"/>
                <w:sz w:val="12"/>
              </w:rPr>
              <w:t>)</w:t>
            </w:r>
          </w:p>
        </w:tc>
      </w:tr>
      <w:tr>
        <w:trPr>
          <w:trHeight w:val="277" w:hRule="atLeast"/>
        </w:trPr>
        <w:tc>
          <w:tcPr>
            <w:tcW w:w="12356" w:type="dxa"/>
            <w:gridSpan w:val="4"/>
            <w:tcBorders>
              <w:right w:val="single" w:sz="4" w:space="0" w:color="FFFFFF"/>
            </w:tcBorders>
          </w:tcPr>
          <w:p>
            <w:pPr>
              <w:pStyle w:val="TableParagraph"/>
              <w:spacing w:line="250" w:lineRule="exact"/>
              <w:ind w:left="107"/>
              <w:rPr>
                <w:b/>
                <w:sz w:val="24"/>
              </w:rPr>
            </w:pPr>
            <w:r>
              <w:rPr>
                <w:b/>
                <w:sz w:val="24"/>
              </w:rPr>
              <w:t>OBJECTIVE 1: IMPROVE COORDINATION AND POLICY PRIORITIES</w:t>
            </w:r>
          </w:p>
        </w:tc>
        <w:tc>
          <w:tcPr>
            <w:tcW w:w="1530" w:type="dxa"/>
            <w:tcBorders>
              <w:left w:val="single" w:sz="4" w:space="0" w:color="FFFFFF"/>
            </w:tcBorders>
          </w:tcPr>
          <w:p>
            <w:pPr>
              <w:pStyle w:val="TableParagraph"/>
              <w:rPr>
                <w:rFonts w:ascii="Times New Roman"/>
                <w:sz w:val="20"/>
              </w:rPr>
            </w:pPr>
          </w:p>
        </w:tc>
      </w:tr>
      <w:tr>
        <w:trPr>
          <w:trHeight w:val="1600" w:hRule="atLeast"/>
        </w:trPr>
        <w:tc>
          <w:tcPr>
            <w:tcW w:w="3166" w:type="dxa"/>
            <w:shd w:val="clear" w:color="auto" w:fill="DDDDDD"/>
          </w:tcPr>
          <w:p>
            <w:pPr>
              <w:pStyle w:val="TableParagraph"/>
              <w:spacing w:line="288" w:lineRule="auto" w:before="30"/>
              <w:ind w:left="107" w:right="297"/>
              <w:rPr>
                <w:sz w:val="20"/>
              </w:rPr>
            </w:pPr>
            <w:r>
              <w:rPr>
                <w:sz w:val="20"/>
              </w:rPr>
              <w:t>1.1} Number of strategies drafted and approved by the government</w:t>
            </w:r>
          </w:p>
        </w:tc>
        <w:tc>
          <w:tcPr>
            <w:tcW w:w="5831" w:type="dxa"/>
            <w:shd w:val="clear" w:color="auto" w:fill="DDDDDD"/>
          </w:tcPr>
          <w:p>
            <w:pPr>
              <w:pStyle w:val="TableParagraph"/>
              <w:spacing w:before="30"/>
              <w:ind w:left="107"/>
              <w:rPr>
                <w:i/>
                <w:sz w:val="20"/>
              </w:rPr>
            </w:pPr>
            <w:r>
              <w:rPr>
                <w:i/>
                <w:sz w:val="20"/>
              </w:rPr>
              <w:t>DO: Improved Rule of Law and Governance that meet Citizen’s Needs</w:t>
            </w:r>
          </w:p>
          <w:p>
            <w:pPr>
              <w:pStyle w:val="TableParagraph"/>
              <w:spacing w:before="8"/>
              <w:rPr>
                <w:b/>
                <w:sz w:val="24"/>
              </w:rPr>
            </w:pPr>
          </w:p>
          <w:p>
            <w:pPr>
              <w:pStyle w:val="TableParagraph"/>
              <w:spacing w:line="290" w:lineRule="auto"/>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b/>
                <w:sz w:val="28"/>
              </w:rPr>
            </w:pPr>
          </w:p>
          <w:p>
            <w:pPr>
              <w:pStyle w:val="TableParagraph"/>
              <w:spacing w:before="7"/>
              <w:rPr>
                <w:b/>
                <w:sz w:val="26"/>
              </w:rPr>
            </w:pPr>
          </w:p>
          <w:p>
            <w:pPr>
              <w:pStyle w:val="TableParagraph"/>
              <w:ind w:left="5"/>
              <w:jc w:val="center"/>
              <w:rPr>
                <w:i/>
                <w:sz w:val="24"/>
              </w:rPr>
            </w:pPr>
            <w:r>
              <w:rPr>
                <w:i/>
                <w:sz w:val="24"/>
              </w:rPr>
              <w:t>0</w:t>
            </w:r>
          </w:p>
        </w:tc>
        <w:tc>
          <w:tcPr>
            <w:tcW w:w="1738" w:type="dxa"/>
            <w:tcBorders>
              <w:right w:val="single" w:sz="4" w:space="0" w:color="FFFFFF"/>
            </w:tcBorders>
            <w:shd w:val="clear" w:color="auto" w:fill="9DBEE4"/>
          </w:tcPr>
          <w:p>
            <w:pPr>
              <w:pStyle w:val="TableParagraph"/>
              <w:rPr>
                <w:b/>
                <w:sz w:val="28"/>
              </w:rPr>
            </w:pPr>
          </w:p>
          <w:p>
            <w:pPr>
              <w:pStyle w:val="TableParagraph"/>
              <w:spacing w:before="7"/>
              <w:rPr>
                <w:b/>
                <w:sz w:val="26"/>
              </w:rPr>
            </w:pPr>
          </w:p>
          <w:p>
            <w:pPr>
              <w:pStyle w:val="TableParagraph"/>
              <w:ind w:left="5"/>
              <w:jc w:val="center"/>
              <w:rPr>
                <w:b/>
                <w:sz w:val="24"/>
              </w:rPr>
            </w:pPr>
            <w:r>
              <w:rPr>
                <w:b/>
                <w:sz w:val="24"/>
              </w:rPr>
              <w:t>1</w:t>
            </w:r>
          </w:p>
        </w:tc>
        <w:tc>
          <w:tcPr>
            <w:tcW w:w="1530" w:type="dxa"/>
            <w:tcBorders>
              <w:left w:val="single" w:sz="4" w:space="0" w:color="FFFFFF"/>
            </w:tcBorders>
            <w:shd w:val="clear" w:color="auto" w:fill="9DBEE4"/>
          </w:tcPr>
          <w:p>
            <w:pPr>
              <w:pStyle w:val="TableParagraph"/>
              <w:rPr>
                <w:b/>
                <w:sz w:val="28"/>
              </w:rPr>
            </w:pPr>
          </w:p>
          <w:p>
            <w:pPr>
              <w:pStyle w:val="TableParagraph"/>
              <w:spacing w:before="7"/>
              <w:rPr>
                <w:b/>
                <w:sz w:val="26"/>
              </w:rPr>
            </w:pPr>
          </w:p>
          <w:p>
            <w:pPr>
              <w:pStyle w:val="TableParagraph"/>
              <w:ind w:left="6"/>
              <w:jc w:val="center"/>
              <w:rPr>
                <w:b/>
                <w:sz w:val="24"/>
              </w:rPr>
            </w:pPr>
            <w:r>
              <w:rPr>
                <w:b/>
                <w:sz w:val="24"/>
              </w:rPr>
              <w:t>2</w:t>
            </w:r>
          </w:p>
        </w:tc>
      </w:tr>
      <w:tr>
        <w:trPr>
          <w:trHeight w:val="1600" w:hRule="atLeast"/>
        </w:trPr>
        <w:tc>
          <w:tcPr>
            <w:tcW w:w="3166" w:type="dxa"/>
            <w:shd w:val="clear" w:color="auto" w:fill="DDDDDD"/>
          </w:tcPr>
          <w:p>
            <w:pPr>
              <w:pStyle w:val="TableParagraph"/>
              <w:spacing w:line="290" w:lineRule="auto" w:before="27"/>
              <w:ind w:left="107" w:right="253"/>
              <w:rPr>
                <w:sz w:val="20"/>
              </w:rPr>
            </w:pPr>
            <w:r>
              <w:rPr>
                <w:sz w:val="20"/>
              </w:rPr>
              <w:t>1.2} Number of laws drafted and approved /Accepted by line ministry/government as a result of USG assistance</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11"/>
              <w:rPr>
                <w:b/>
                <w:sz w:val="24"/>
              </w:rPr>
            </w:pPr>
          </w:p>
          <w:p>
            <w:pPr>
              <w:pStyle w:val="TableParagraph"/>
              <w:spacing w:line="290" w:lineRule="auto"/>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b/>
                <w:sz w:val="28"/>
              </w:rPr>
            </w:pPr>
          </w:p>
          <w:p>
            <w:pPr>
              <w:pStyle w:val="TableParagraph"/>
              <w:spacing w:before="7"/>
              <w:rPr>
                <w:b/>
                <w:sz w:val="26"/>
              </w:rPr>
            </w:pPr>
          </w:p>
          <w:p>
            <w:pPr>
              <w:pStyle w:val="TableParagraph"/>
              <w:ind w:left="5"/>
              <w:jc w:val="center"/>
              <w:rPr>
                <w:i/>
                <w:sz w:val="24"/>
              </w:rPr>
            </w:pPr>
            <w:r>
              <w:rPr>
                <w:i/>
                <w:sz w:val="24"/>
              </w:rPr>
              <w:t>0</w:t>
            </w:r>
          </w:p>
        </w:tc>
        <w:tc>
          <w:tcPr>
            <w:tcW w:w="1738" w:type="dxa"/>
            <w:tcBorders>
              <w:right w:val="single" w:sz="4" w:space="0" w:color="FFFFFF"/>
            </w:tcBorders>
            <w:shd w:val="clear" w:color="auto" w:fill="9DBEE4"/>
          </w:tcPr>
          <w:p>
            <w:pPr>
              <w:pStyle w:val="TableParagraph"/>
              <w:rPr>
                <w:b/>
                <w:sz w:val="28"/>
              </w:rPr>
            </w:pPr>
          </w:p>
          <w:p>
            <w:pPr>
              <w:pStyle w:val="TableParagraph"/>
              <w:spacing w:before="7"/>
              <w:rPr>
                <w:b/>
                <w:sz w:val="26"/>
              </w:rPr>
            </w:pPr>
          </w:p>
          <w:p>
            <w:pPr>
              <w:pStyle w:val="TableParagraph"/>
              <w:ind w:left="5"/>
              <w:jc w:val="center"/>
              <w:rPr>
                <w:b/>
                <w:sz w:val="24"/>
              </w:rPr>
            </w:pPr>
            <w:r>
              <w:rPr>
                <w:b/>
                <w:sz w:val="24"/>
              </w:rPr>
              <w:t>6</w:t>
            </w:r>
          </w:p>
        </w:tc>
        <w:tc>
          <w:tcPr>
            <w:tcW w:w="1530" w:type="dxa"/>
            <w:tcBorders>
              <w:left w:val="single" w:sz="4" w:space="0" w:color="FFFFFF"/>
            </w:tcBorders>
            <w:shd w:val="clear" w:color="auto" w:fill="9DBEE4"/>
          </w:tcPr>
          <w:p>
            <w:pPr>
              <w:pStyle w:val="TableParagraph"/>
              <w:spacing w:before="216"/>
              <w:ind w:left="6"/>
              <w:jc w:val="center"/>
              <w:rPr>
                <w:b/>
                <w:sz w:val="24"/>
              </w:rPr>
            </w:pPr>
            <w:r>
              <w:rPr>
                <w:b/>
                <w:sz w:val="24"/>
              </w:rPr>
              <w:t>9</w:t>
            </w:r>
          </w:p>
          <w:p>
            <w:pPr>
              <w:pStyle w:val="TableParagraph"/>
              <w:ind w:left="236" w:right="229"/>
              <w:jc w:val="center"/>
              <w:rPr>
                <w:b/>
                <w:sz w:val="24"/>
              </w:rPr>
            </w:pPr>
            <w:r>
              <w:rPr>
                <w:b/>
                <w:sz w:val="24"/>
              </w:rPr>
              <w:t>(Drafted) 2</w:t>
            </w:r>
          </w:p>
          <w:p>
            <w:pPr>
              <w:pStyle w:val="TableParagraph"/>
              <w:ind w:left="92" w:right="90"/>
              <w:jc w:val="center"/>
              <w:rPr>
                <w:b/>
                <w:sz w:val="24"/>
              </w:rPr>
            </w:pPr>
            <w:r>
              <w:rPr>
                <w:b/>
                <w:sz w:val="24"/>
              </w:rPr>
              <w:t>(Approved)</w:t>
            </w:r>
          </w:p>
        </w:tc>
      </w:tr>
      <w:tr>
        <w:trPr>
          <w:trHeight w:val="1601" w:hRule="atLeast"/>
        </w:trPr>
        <w:tc>
          <w:tcPr>
            <w:tcW w:w="3166" w:type="dxa"/>
            <w:shd w:val="clear" w:color="auto" w:fill="DDDDDD"/>
          </w:tcPr>
          <w:p>
            <w:pPr>
              <w:pStyle w:val="TableParagraph"/>
              <w:spacing w:line="290" w:lineRule="auto" w:before="27"/>
              <w:ind w:left="107" w:right="297"/>
              <w:rPr>
                <w:sz w:val="20"/>
              </w:rPr>
            </w:pPr>
            <w:r>
              <w:rPr>
                <w:sz w:val="20"/>
              </w:rPr>
              <w:t>1.3} Number of secondary legislation drafted and approved</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rPr>
                <w:b/>
                <w:sz w:val="25"/>
              </w:rPr>
            </w:pPr>
          </w:p>
          <w:p>
            <w:pPr>
              <w:pStyle w:val="TableParagraph"/>
              <w:spacing w:line="290" w:lineRule="auto"/>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b/>
                <w:sz w:val="28"/>
              </w:rPr>
            </w:pPr>
          </w:p>
          <w:p>
            <w:pPr>
              <w:pStyle w:val="TableParagraph"/>
              <w:spacing w:before="7"/>
              <w:rPr>
                <w:b/>
                <w:sz w:val="26"/>
              </w:rPr>
            </w:pPr>
          </w:p>
          <w:p>
            <w:pPr>
              <w:pStyle w:val="TableParagraph"/>
              <w:spacing w:before="1"/>
              <w:ind w:left="5"/>
              <w:jc w:val="center"/>
              <w:rPr>
                <w:i/>
                <w:sz w:val="24"/>
              </w:rPr>
            </w:pPr>
            <w:r>
              <w:rPr>
                <w:i/>
                <w:sz w:val="24"/>
              </w:rPr>
              <w:t>0</w:t>
            </w:r>
          </w:p>
        </w:tc>
        <w:tc>
          <w:tcPr>
            <w:tcW w:w="1738" w:type="dxa"/>
            <w:tcBorders>
              <w:right w:val="single" w:sz="4" w:space="0" w:color="FFFFFF"/>
            </w:tcBorders>
            <w:shd w:val="clear" w:color="auto" w:fill="9DBEE4"/>
          </w:tcPr>
          <w:p>
            <w:pPr>
              <w:pStyle w:val="TableParagraph"/>
              <w:rPr>
                <w:b/>
                <w:sz w:val="28"/>
              </w:rPr>
            </w:pPr>
          </w:p>
          <w:p>
            <w:pPr>
              <w:pStyle w:val="TableParagraph"/>
              <w:spacing w:before="7"/>
              <w:rPr>
                <w:b/>
                <w:sz w:val="26"/>
              </w:rPr>
            </w:pPr>
          </w:p>
          <w:p>
            <w:pPr>
              <w:pStyle w:val="TableParagraph"/>
              <w:spacing w:before="1"/>
              <w:ind w:left="232" w:right="225"/>
              <w:jc w:val="center"/>
              <w:rPr>
                <w:b/>
                <w:sz w:val="24"/>
              </w:rPr>
            </w:pPr>
            <w:r>
              <w:rPr>
                <w:b/>
                <w:sz w:val="24"/>
              </w:rPr>
              <w:t>14</w:t>
            </w:r>
          </w:p>
        </w:tc>
        <w:tc>
          <w:tcPr>
            <w:tcW w:w="1530" w:type="dxa"/>
            <w:tcBorders>
              <w:left w:val="single" w:sz="4" w:space="0" w:color="FFFFFF"/>
            </w:tcBorders>
            <w:shd w:val="clear" w:color="auto" w:fill="9DBEE4"/>
          </w:tcPr>
          <w:p>
            <w:pPr>
              <w:pStyle w:val="TableParagraph"/>
              <w:rPr>
                <w:b/>
                <w:sz w:val="28"/>
              </w:rPr>
            </w:pPr>
          </w:p>
          <w:p>
            <w:pPr>
              <w:pStyle w:val="TableParagraph"/>
              <w:spacing w:before="170"/>
              <w:ind w:left="212" w:right="186" w:firstLine="417"/>
              <w:rPr>
                <w:b/>
                <w:sz w:val="24"/>
              </w:rPr>
            </w:pPr>
            <w:r>
              <w:rPr>
                <w:b/>
                <w:sz w:val="24"/>
              </w:rPr>
              <w:t>26 (4A+22D)</w:t>
            </w:r>
          </w:p>
        </w:tc>
      </w:tr>
      <w:tr>
        <w:trPr>
          <w:trHeight w:val="278" w:hRule="atLeast"/>
        </w:trPr>
        <w:tc>
          <w:tcPr>
            <w:tcW w:w="12356" w:type="dxa"/>
            <w:gridSpan w:val="4"/>
            <w:tcBorders>
              <w:right w:val="single" w:sz="4" w:space="0" w:color="FFFFFF"/>
            </w:tcBorders>
          </w:tcPr>
          <w:p>
            <w:pPr>
              <w:pStyle w:val="TableParagraph"/>
              <w:spacing w:line="250" w:lineRule="exact"/>
              <w:ind w:left="107"/>
              <w:rPr>
                <w:b/>
                <w:sz w:val="24"/>
              </w:rPr>
            </w:pPr>
            <w:r>
              <w:rPr>
                <w:b/>
                <w:sz w:val="24"/>
              </w:rPr>
              <w:t>OBJECTIVE 2: IMPROVED COURT PROCESSES RELATED TO PROPERTY CLAIMS</w:t>
            </w:r>
          </w:p>
        </w:tc>
        <w:tc>
          <w:tcPr>
            <w:tcW w:w="1530" w:type="dxa"/>
            <w:tcBorders>
              <w:left w:val="single" w:sz="4" w:space="0" w:color="FFFFFF"/>
            </w:tcBorders>
          </w:tcPr>
          <w:p>
            <w:pPr>
              <w:pStyle w:val="TableParagraph"/>
              <w:rPr>
                <w:rFonts w:ascii="Times New Roman"/>
                <w:sz w:val="20"/>
              </w:rPr>
            </w:pPr>
          </w:p>
        </w:tc>
      </w:tr>
      <w:tr>
        <w:trPr>
          <w:trHeight w:val="1041" w:hRule="atLeast"/>
        </w:trPr>
        <w:tc>
          <w:tcPr>
            <w:tcW w:w="3166" w:type="dxa"/>
            <w:shd w:val="clear" w:color="auto" w:fill="DDDDDD"/>
          </w:tcPr>
          <w:p>
            <w:pPr>
              <w:pStyle w:val="TableParagraph"/>
              <w:spacing w:line="290" w:lineRule="auto" w:before="27"/>
              <w:ind w:left="107" w:right="153"/>
              <w:rPr>
                <w:sz w:val="20"/>
              </w:rPr>
            </w:pPr>
            <w:r>
              <w:rPr>
                <w:sz w:val="20"/>
              </w:rPr>
              <w:t>2.1} Number of court procedures and secondary legislation related to court function and/ or improved</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11"/>
              <w:rPr>
                <w:b/>
                <w:sz w:val="24"/>
              </w:rPr>
            </w:pPr>
          </w:p>
          <w:p>
            <w:pPr>
              <w:pStyle w:val="TableParagraph"/>
              <w:ind w:left="107"/>
              <w:rPr>
                <w:i/>
                <w:sz w:val="20"/>
              </w:rPr>
            </w:pPr>
            <w:r>
              <w:rPr>
                <w:i/>
                <w:sz w:val="20"/>
              </w:rPr>
              <w:t>IR: More Efficient, Transparent, Independent &amp; Accountable Justice Sector</w:t>
            </w:r>
          </w:p>
        </w:tc>
        <w:tc>
          <w:tcPr>
            <w:tcW w:w="1621" w:type="dxa"/>
            <w:shd w:val="clear" w:color="auto" w:fill="9DBEE4"/>
          </w:tcPr>
          <w:p>
            <w:pPr>
              <w:pStyle w:val="TableParagraph"/>
              <w:spacing w:before="4"/>
              <w:rPr>
                <w:b/>
                <w:sz w:val="30"/>
              </w:rPr>
            </w:pPr>
          </w:p>
          <w:p>
            <w:pPr>
              <w:pStyle w:val="TableParagraph"/>
              <w:spacing w:before="1"/>
              <w:ind w:left="5"/>
              <w:jc w:val="center"/>
              <w:rPr>
                <w:i/>
                <w:sz w:val="24"/>
              </w:rPr>
            </w:pPr>
            <w:r>
              <w:rPr>
                <w:i/>
                <w:sz w:val="24"/>
              </w:rPr>
              <w:t>0</w:t>
            </w:r>
          </w:p>
        </w:tc>
        <w:tc>
          <w:tcPr>
            <w:tcW w:w="1738" w:type="dxa"/>
            <w:tcBorders>
              <w:right w:val="single" w:sz="4" w:space="0" w:color="FFFFFF"/>
            </w:tcBorders>
            <w:shd w:val="clear" w:color="auto" w:fill="9DBEE4"/>
          </w:tcPr>
          <w:p>
            <w:pPr>
              <w:pStyle w:val="TableParagraph"/>
              <w:spacing w:before="4"/>
              <w:rPr>
                <w:b/>
                <w:sz w:val="30"/>
              </w:rPr>
            </w:pPr>
          </w:p>
          <w:p>
            <w:pPr>
              <w:pStyle w:val="TableParagraph"/>
              <w:spacing w:before="1"/>
              <w:ind w:left="232" w:right="225"/>
              <w:jc w:val="center"/>
              <w:rPr>
                <w:b/>
                <w:sz w:val="24"/>
              </w:rPr>
            </w:pPr>
            <w:r>
              <w:rPr>
                <w:b/>
                <w:sz w:val="24"/>
              </w:rPr>
              <w:t>12</w:t>
            </w:r>
          </w:p>
        </w:tc>
        <w:tc>
          <w:tcPr>
            <w:tcW w:w="1530" w:type="dxa"/>
            <w:tcBorders>
              <w:left w:val="single" w:sz="4" w:space="0" w:color="FFFFFF"/>
            </w:tcBorders>
            <w:shd w:val="clear" w:color="auto" w:fill="9DBEE4"/>
          </w:tcPr>
          <w:p>
            <w:pPr>
              <w:pStyle w:val="TableParagraph"/>
              <w:spacing w:before="4"/>
              <w:rPr>
                <w:b/>
                <w:sz w:val="30"/>
              </w:rPr>
            </w:pPr>
          </w:p>
          <w:p>
            <w:pPr>
              <w:pStyle w:val="TableParagraph"/>
              <w:spacing w:before="1"/>
              <w:ind w:left="6"/>
              <w:jc w:val="center"/>
              <w:rPr>
                <w:b/>
                <w:sz w:val="24"/>
              </w:rPr>
            </w:pPr>
            <w:r>
              <w:rPr>
                <w:b/>
                <w:sz w:val="24"/>
              </w:rPr>
              <w:t>1</w:t>
            </w:r>
          </w:p>
        </w:tc>
      </w:tr>
    </w:tbl>
    <w:p>
      <w:pPr>
        <w:spacing w:after="0"/>
        <w:jc w:val="center"/>
        <w:rPr>
          <w:sz w:val="24"/>
        </w:rPr>
        <w:sectPr>
          <w:footerReference w:type="default" r:id="rId52"/>
          <w:pgSz w:w="16840" w:h="11910" w:orient="landscape"/>
          <w:pgMar w:footer="640" w:header="0" w:top="1100" w:bottom="820" w:left="1340" w:right="1400"/>
          <w:pgNumType w:start="31"/>
        </w:sectPr>
      </w:pPr>
    </w:p>
    <w:p>
      <w:pPr>
        <w:pStyle w:val="BodyText"/>
        <w:spacing w:before="9"/>
        <w:rPr>
          <w:b/>
          <w:sz w:val="2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6"/>
        <w:gridCol w:w="5831"/>
        <w:gridCol w:w="1621"/>
        <w:gridCol w:w="1738"/>
        <w:gridCol w:w="1530"/>
      </w:tblGrid>
      <w:tr>
        <w:trPr>
          <w:trHeight w:val="1751" w:hRule="atLeast"/>
        </w:trPr>
        <w:tc>
          <w:tcPr>
            <w:tcW w:w="3166" w:type="dxa"/>
            <w:tcBorders>
              <w:right w:val="nil"/>
            </w:tcBorders>
            <w:shd w:val="clear" w:color="auto" w:fill="002A6C"/>
          </w:tcPr>
          <w:p>
            <w:pPr>
              <w:pStyle w:val="TableParagraph"/>
              <w:rPr>
                <w:b/>
                <w:sz w:val="28"/>
              </w:rPr>
            </w:pPr>
          </w:p>
          <w:p>
            <w:pPr>
              <w:pStyle w:val="TableParagraph"/>
              <w:rPr>
                <w:b/>
                <w:sz w:val="33"/>
              </w:rPr>
            </w:pPr>
          </w:p>
          <w:p>
            <w:pPr>
              <w:pStyle w:val="TableParagraph"/>
              <w:ind w:left="305"/>
              <w:rPr>
                <w:b/>
                <w:sz w:val="24"/>
              </w:rPr>
            </w:pPr>
            <w:r>
              <w:rPr>
                <w:b/>
                <w:color w:val="FFFFFF"/>
                <w:sz w:val="24"/>
              </w:rPr>
              <w:t>Performance Indicator</w:t>
            </w:r>
          </w:p>
        </w:tc>
        <w:tc>
          <w:tcPr>
            <w:tcW w:w="5831" w:type="dxa"/>
            <w:tcBorders>
              <w:left w:val="nil"/>
              <w:right w:val="nil"/>
            </w:tcBorders>
            <w:shd w:val="clear" w:color="auto" w:fill="002A6C"/>
          </w:tcPr>
          <w:p>
            <w:pPr>
              <w:pStyle w:val="TableParagraph"/>
              <w:rPr>
                <w:b/>
                <w:sz w:val="28"/>
              </w:rPr>
            </w:pPr>
          </w:p>
          <w:p>
            <w:pPr>
              <w:pStyle w:val="TableParagraph"/>
              <w:rPr>
                <w:b/>
                <w:sz w:val="33"/>
              </w:rPr>
            </w:pPr>
          </w:p>
          <w:p>
            <w:pPr>
              <w:pStyle w:val="TableParagraph"/>
              <w:ind w:left="2419" w:right="2413"/>
              <w:jc w:val="center"/>
              <w:rPr>
                <w:b/>
                <w:sz w:val="24"/>
              </w:rPr>
            </w:pPr>
            <w:r>
              <w:rPr>
                <w:b/>
                <w:color w:val="FFFFFF"/>
                <w:sz w:val="24"/>
              </w:rPr>
              <w:t>DO &amp; IR</w:t>
            </w:r>
          </w:p>
        </w:tc>
        <w:tc>
          <w:tcPr>
            <w:tcW w:w="1621" w:type="dxa"/>
            <w:tcBorders>
              <w:left w:val="nil"/>
              <w:right w:val="nil"/>
            </w:tcBorders>
            <w:shd w:val="clear" w:color="auto" w:fill="C21139"/>
          </w:tcPr>
          <w:p>
            <w:pPr>
              <w:pStyle w:val="TableParagraph"/>
              <w:rPr>
                <w:b/>
                <w:sz w:val="28"/>
              </w:rPr>
            </w:pPr>
          </w:p>
          <w:p>
            <w:pPr>
              <w:pStyle w:val="TableParagraph"/>
              <w:spacing w:before="244"/>
              <w:ind w:left="326" w:right="321"/>
              <w:jc w:val="center"/>
              <w:rPr>
                <w:b/>
                <w:sz w:val="24"/>
              </w:rPr>
            </w:pPr>
            <w:r>
              <w:rPr>
                <w:b/>
                <w:color w:val="FFFFFF"/>
                <w:sz w:val="24"/>
              </w:rPr>
              <w:t>Baseline</w:t>
            </w:r>
          </w:p>
        </w:tc>
        <w:tc>
          <w:tcPr>
            <w:tcW w:w="1738" w:type="dxa"/>
            <w:tcBorders>
              <w:left w:val="nil"/>
              <w:right w:val="single" w:sz="4" w:space="0" w:color="FFFFFF"/>
            </w:tcBorders>
            <w:shd w:val="clear" w:color="auto" w:fill="C21139"/>
          </w:tcPr>
          <w:p>
            <w:pPr>
              <w:pStyle w:val="TableParagraph"/>
              <w:rPr>
                <w:b/>
                <w:sz w:val="28"/>
              </w:rPr>
            </w:pPr>
          </w:p>
          <w:p>
            <w:pPr>
              <w:pStyle w:val="TableParagraph"/>
              <w:spacing w:before="203"/>
              <w:ind w:left="237" w:right="226"/>
              <w:jc w:val="center"/>
              <w:rPr>
                <w:b/>
                <w:sz w:val="24"/>
              </w:rPr>
            </w:pPr>
            <w:r>
              <w:rPr>
                <w:b/>
                <w:color w:val="FFFFFF"/>
                <w:sz w:val="24"/>
              </w:rPr>
              <w:t>Target</w:t>
            </w:r>
          </w:p>
          <w:p>
            <w:pPr>
              <w:pStyle w:val="TableParagraph"/>
              <w:spacing w:before="18"/>
              <w:ind w:left="237" w:right="229"/>
              <w:jc w:val="center"/>
              <w:rPr>
                <w:b/>
                <w:sz w:val="12"/>
              </w:rPr>
            </w:pPr>
            <w:r>
              <w:rPr>
                <w:b/>
                <w:color w:val="FFFFFF"/>
                <w:sz w:val="12"/>
              </w:rPr>
              <w:t>(</w:t>
            </w:r>
            <w:r>
              <w:rPr>
                <w:b/>
                <w:i/>
                <w:color w:val="FFFFFF"/>
                <w:sz w:val="12"/>
              </w:rPr>
              <w:t>Life of Project-Target</w:t>
            </w:r>
            <w:r>
              <w:rPr>
                <w:b/>
                <w:color w:val="FFFFFF"/>
                <w:sz w:val="12"/>
              </w:rPr>
              <w:t>)</w:t>
            </w:r>
          </w:p>
        </w:tc>
        <w:tc>
          <w:tcPr>
            <w:tcW w:w="1530" w:type="dxa"/>
            <w:tcBorders>
              <w:left w:val="single" w:sz="4" w:space="0" w:color="FFFFFF"/>
              <w:right w:val="nil"/>
            </w:tcBorders>
            <w:shd w:val="clear" w:color="auto" w:fill="C21139"/>
          </w:tcPr>
          <w:p>
            <w:pPr>
              <w:pStyle w:val="TableParagraph"/>
              <w:rPr>
                <w:b/>
                <w:sz w:val="28"/>
              </w:rPr>
            </w:pPr>
          </w:p>
          <w:p>
            <w:pPr>
              <w:pStyle w:val="TableParagraph"/>
              <w:spacing w:before="203"/>
              <w:ind w:left="134" w:right="133"/>
              <w:jc w:val="center"/>
              <w:rPr>
                <w:b/>
                <w:sz w:val="24"/>
              </w:rPr>
            </w:pPr>
            <w:r>
              <w:rPr>
                <w:b/>
                <w:color w:val="FFFFFF"/>
                <w:sz w:val="24"/>
              </w:rPr>
              <w:t>Actual</w:t>
            </w:r>
          </w:p>
          <w:p>
            <w:pPr>
              <w:pStyle w:val="TableParagraph"/>
              <w:spacing w:before="18"/>
              <w:ind w:left="134" w:right="134"/>
              <w:jc w:val="center"/>
              <w:rPr>
                <w:b/>
                <w:sz w:val="12"/>
              </w:rPr>
            </w:pPr>
            <w:r>
              <w:rPr>
                <w:b/>
                <w:color w:val="FFFFFF"/>
                <w:sz w:val="12"/>
              </w:rPr>
              <w:t>(</w:t>
            </w:r>
            <w:r>
              <w:rPr>
                <w:b/>
                <w:i/>
                <w:color w:val="FFFFFF"/>
                <w:sz w:val="12"/>
              </w:rPr>
              <w:t>Life of Project-Actual</w:t>
            </w:r>
            <w:r>
              <w:rPr>
                <w:b/>
                <w:color w:val="FFFFFF"/>
                <w:sz w:val="12"/>
              </w:rPr>
              <w:t>)</w:t>
            </w:r>
          </w:p>
        </w:tc>
      </w:tr>
      <w:tr>
        <w:trPr>
          <w:trHeight w:val="801" w:hRule="atLeast"/>
        </w:trPr>
        <w:tc>
          <w:tcPr>
            <w:tcW w:w="3166" w:type="dxa"/>
            <w:shd w:val="clear" w:color="auto" w:fill="DDDDDD"/>
          </w:tcPr>
          <w:p>
            <w:pPr>
              <w:pStyle w:val="TableParagraph"/>
              <w:spacing w:line="290" w:lineRule="auto" w:before="28"/>
              <w:ind w:left="107" w:right="431"/>
              <w:rPr>
                <w:sz w:val="20"/>
              </w:rPr>
            </w:pPr>
            <w:r>
              <w:rPr>
                <w:sz w:val="20"/>
              </w:rPr>
              <w:t>court performance adopted and approved</w:t>
            </w:r>
          </w:p>
        </w:tc>
        <w:tc>
          <w:tcPr>
            <w:tcW w:w="5831" w:type="dxa"/>
            <w:shd w:val="clear" w:color="auto" w:fill="DDDDDD"/>
          </w:tcPr>
          <w:p>
            <w:pPr>
              <w:pStyle w:val="TableParagraph"/>
              <w:rPr>
                <w:rFonts w:ascii="Times New Roman"/>
                <w:sz w:val="18"/>
              </w:rPr>
            </w:pPr>
          </w:p>
        </w:tc>
        <w:tc>
          <w:tcPr>
            <w:tcW w:w="1621" w:type="dxa"/>
            <w:shd w:val="clear" w:color="auto" w:fill="9DBEE4"/>
          </w:tcPr>
          <w:p>
            <w:pPr>
              <w:pStyle w:val="TableParagraph"/>
              <w:rPr>
                <w:rFonts w:ascii="Times New Roman"/>
                <w:sz w:val="18"/>
              </w:rPr>
            </w:pPr>
          </w:p>
        </w:tc>
        <w:tc>
          <w:tcPr>
            <w:tcW w:w="1738" w:type="dxa"/>
            <w:tcBorders>
              <w:right w:val="single" w:sz="4" w:space="0" w:color="FFFFFF"/>
            </w:tcBorders>
            <w:shd w:val="clear" w:color="auto" w:fill="9DBEE4"/>
          </w:tcPr>
          <w:p>
            <w:pPr>
              <w:pStyle w:val="TableParagraph"/>
              <w:rPr>
                <w:rFonts w:ascii="Times New Roman"/>
                <w:sz w:val="18"/>
              </w:rPr>
            </w:pPr>
          </w:p>
        </w:tc>
        <w:tc>
          <w:tcPr>
            <w:tcW w:w="1530" w:type="dxa"/>
            <w:tcBorders>
              <w:left w:val="single" w:sz="4" w:space="0" w:color="FFFFFF"/>
            </w:tcBorders>
            <w:shd w:val="clear" w:color="auto" w:fill="9DBEE4"/>
          </w:tcPr>
          <w:p>
            <w:pPr>
              <w:pStyle w:val="TableParagraph"/>
              <w:rPr>
                <w:rFonts w:ascii="Times New Roman"/>
                <w:sz w:val="18"/>
              </w:rPr>
            </w:pPr>
          </w:p>
        </w:tc>
      </w:tr>
      <w:tr>
        <w:trPr>
          <w:trHeight w:val="1079" w:hRule="atLeast"/>
        </w:trPr>
        <w:tc>
          <w:tcPr>
            <w:tcW w:w="3166" w:type="dxa"/>
            <w:shd w:val="clear" w:color="auto" w:fill="DDDDDD"/>
          </w:tcPr>
          <w:p>
            <w:pPr>
              <w:pStyle w:val="TableParagraph"/>
              <w:spacing w:line="290" w:lineRule="auto" w:before="27"/>
              <w:ind w:left="107" w:right="297"/>
              <w:rPr>
                <w:sz w:val="20"/>
              </w:rPr>
            </w:pPr>
            <w:r>
              <w:rPr>
                <w:sz w:val="20"/>
              </w:rPr>
              <w:t>2.2} Number [average] of days it takes for courts to resolve a property case reduced.</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8"/>
              <w:rPr>
                <w:b/>
                <w:sz w:val="24"/>
              </w:rPr>
            </w:pPr>
          </w:p>
          <w:p>
            <w:pPr>
              <w:pStyle w:val="TableParagraph"/>
              <w:ind w:left="107"/>
              <w:rPr>
                <w:i/>
                <w:sz w:val="20"/>
              </w:rPr>
            </w:pPr>
            <w:r>
              <w:rPr>
                <w:i/>
                <w:sz w:val="20"/>
              </w:rPr>
              <w:t>IR: More Efficient, Transparent, Independent &amp; Accountable Justice Sector</w:t>
            </w:r>
          </w:p>
        </w:tc>
        <w:tc>
          <w:tcPr>
            <w:tcW w:w="1621" w:type="dxa"/>
            <w:shd w:val="clear" w:color="auto" w:fill="9DBEE4"/>
          </w:tcPr>
          <w:p>
            <w:pPr>
              <w:pStyle w:val="TableParagraph"/>
              <w:rPr>
                <w:b/>
                <w:sz w:val="32"/>
              </w:rPr>
            </w:pPr>
          </w:p>
          <w:p>
            <w:pPr>
              <w:pStyle w:val="TableParagraph"/>
              <w:spacing w:before="1"/>
              <w:ind w:left="321" w:right="316"/>
              <w:jc w:val="center"/>
              <w:rPr>
                <w:i/>
                <w:sz w:val="24"/>
              </w:rPr>
            </w:pPr>
            <w:r>
              <w:rPr>
                <w:i/>
                <w:sz w:val="24"/>
              </w:rPr>
              <w:t>1249</w:t>
            </w:r>
          </w:p>
        </w:tc>
        <w:tc>
          <w:tcPr>
            <w:tcW w:w="1738" w:type="dxa"/>
            <w:tcBorders>
              <w:right w:val="single" w:sz="4" w:space="0" w:color="FFFFFF"/>
            </w:tcBorders>
            <w:shd w:val="clear" w:color="auto" w:fill="9DBEE4"/>
          </w:tcPr>
          <w:p>
            <w:pPr>
              <w:pStyle w:val="TableParagraph"/>
              <w:rPr>
                <w:b/>
                <w:sz w:val="32"/>
              </w:rPr>
            </w:pPr>
          </w:p>
          <w:p>
            <w:pPr>
              <w:pStyle w:val="TableParagraph"/>
              <w:spacing w:before="1"/>
              <w:ind w:left="232" w:right="227"/>
              <w:jc w:val="center"/>
              <w:rPr>
                <w:b/>
                <w:sz w:val="24"/>
              </w:rPr>
            </w:pPr>
            <w:r>
              <w:rPr>
                <w:b/>
                <w:sz w:val="24"/>
              </w:rPr>
              <w:t>936</w:t>
            </w:r>
          </w:p>
        </w:tc>
        <w:tc>
          <w:tcPr>
            <w:tcW w:w="1530" w:type="dxa"/>
            <w:tcBorders>
              <w:left w:val="single" w:sz="4" w:space="0" w:color="FFFFFF"/>
            </w:tcBorders>
            <w:shd w:val="clear" w:color="auto" w:fill="9DBEE4"/>
          </w:tcPr>
          <w:p>
            <w:pPr>
              <w:pStyle w:val="TableParagraph"/>
              <w:spacing w:before="5"/>
              <w:rPr>
                <w:b/>
                <w:sz w:val="31"/>
              </w:rPr>
            </w:pPr>
          </w:p>
          <w:p>
            <w:pPr>
              <w:pStyle w:val="TableParagraph"/>
              <w:ind w:left="233" w:right="229"/>
              <w:jc w:val="center"/>
              <w:rPr>
                <w:b/>
                <w:sz w:val="14"/>
              </w:rPr>
            </w:pPr>
            <w:r>
              <w:rPr>
                <w:b/>
                <w:sz w:val="24"/>
              </w:rPr>
              <w:t>920</w:t>
            </w:r>
            <w:r>
              <w:rPr>
                <w:b/>
                <w:position w:val="10"/>
                <w:sz w:val="14"/>
              </w:rPr>
              <w:t>1</w:t>
            </w:r>
          </w:p>
        </w:tc>
      </w:tr>
      <w:tr>
        <w:trPr>
          <w:trHeight w:val="1079" w:hRule="atLeast"/>
        </w:trPr>
        <w:tc>
          <w:tcPr>
            <w:tcW w:w="3166" w:type="dxa"/>
            <w:shd w:val="clear" w:color="auto" w:fill="DDDDDD"/>
          </w:tcPr>
          <w:p>
            <w:pPr>
              <w:pStyle w:val="TableParagraph"/>
              <w:spacing w:line="290" w:lineRule="auto" w:before="27"/>
              <w:ind w:left="107" w:right="327"/>
              <w:jc w:val="both"/>
              <w:rPr>
                <w:sz w:val="20"/>
              </w:rPr>
            </w:pPr>
            <w:r>
              <w:rPr>
                <w:sz w:val="20"/>
              </w:rPr>
              <w:t>2.3} Percent of property disputes cases resolved in courts [within 2 years]</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11"/>
              <w:rPr>
                <w:b/>
                <w:sz w:val="24"/>
              </w:rPr>
            </w:pPr>
          </w:p>
          <w:p>
            <w:pPr>
              <w:pStyle w:val="TableParagraph"/>
              <w:ind w:left="107"/>
              <w:rPr>
                <w:i/>
                <w:sz w:val="20"/>
              </w:rPr>
            </w:pPr>
            <w:r>
              <w:rPr>
                <w:i/>
                <w:sz w:val="20"/>
              </w:rPr>
              <w:t>IR: More Efficient, Transparent, Independent &amp; Accountable Justice Sector</w:t>
            </w:r>
          </w:p>
        </w:tc>
        <w:tc>
          <w:tcPr>
            <w:tcW w:w="1621" w:type="dxa"/>
            <w:shd w:val="clear" w:color="auto" w:fill="9DBEE4"/>
          </w:tcPr>
          <w:p>
            <w:pPr>
              <w:pStyle w:val="TableParagraph"/>
              <w:spacing w:before="1"/>
              <w:rPr>
                <w:b/>
                <w:sz w:val="32"/>
              </w:rPr>
            </w:pPr>
          </w:p>
          <w:p>
            <w:pPr>
              <w:pStyle w:val="TableParagraph"/>
              <w:ind w:left="321" w:right="314"/>
              <w:jc w:val="center"/>
              <w:rPr>
                <w:i/>
                <w:sz w:val="24"/>
              </w:rPr>
            </w:pPr>
            <w:r>
              <w:rPr>
                <w:i/>
                <w:sz w:val="24"/>
              </w:rPr>
              <w:t>32%</w:t>
            </w:r>
          </w:p>
        </w:tc>
        <w:tc>
          <w:tcPr>
            <w:tcW w:w="1738" w:type="dxa"/>
            <w:tcBorders>
              <w:right w:val="single" w:sz="4" w:space="0" w:color="FFFFFF"/>
            </w:tcBorders>
            <w:shd w:val="clear" w:color="auto" w:fill="9DBEE4"/>
          </w:tcPr>
          <w:p>
            <w:pPr>
              <w:pStyle w:val="TableParagraph"/>
              <w:spacing w:before="1"/>
              <w:rPr>
                <w:b/>
                <w:sz w:val="32"/>
              </w:rPr>
            </w:pPr>
          </w:p>
          <w:p>
            <w:pPr>
              <w:pStyle w:val="TableParagraph"/>
              <w:ind w:left="232" w:right="226"/>
              <w:jc w:val="center"/>
              <w:rPr>
                <w:b/>
                <w:sz w:val="24"/>
              </w:rPr>
            </w:pPr>
            <w:r>
              <w:rPr>
                <w:b/>
                <w:sz w:val="24"/>
              </w:rPr>
              <w:t>72%</w:t>
            </w:r>
          </w:p>
        </w:tc>
        <w:tc>
          <w:tcPr>
            <w:tcW w:w="1530" w:type="dxa"/>
            <w:tcBorders>
              <w:left w:val="single" w:sz="4" w:space="0" w:color="FFFFFF"/>
            </w:tcBorders>
            <w:shd w:val="clear" w:color="auto" w:fill="9DBEE4"/>
          </w:tcPr>
          <w:p>
            <w:pPr>
              <w:pStyle w:val="TableParagraph"/>
              <w:spacing w:before="1"/>
              <w:rPr>
                <w:b/>
                <w:sz w:val="32"/>
              </w:rPr>
            </w:pPr>
          </w:p>
          <w:p>
            <w:pPr>
              <w:pStyle w:val="TableParagraph"/>
              <w:ind w:left="232" w:right="229"/>
              <w:jc w:val="center"/>
              <w:rPr>
                <w:b/>
                <w:sz w:val="24"/>
              </w:rPr>
            </w:pPr>
            <w:r>
              <w:rPr>
                <w:b/>
                <w:sz w:val="24"/>
              </w:rPr>
              <w:t>TBD</w:t>
            </w:r>
          </w:p>
        </w:tc>
      </w:tr>
      <w:tr>
        <w:trPr>
          <w:trHeight w:val="1079" w:hRule="atLeast"/>
        </w:trPr>
        <w:tc>
          <w:tcPr>
            <w:tcW w:w="3166" w:type="dxa"/>
            <w:shd w:val="clear" w:color="auto" w:fill="DDDDDD"/>
          </w:tcPr>
          <w:p>
            <w:pPr>
              <w:pStyle w:val="TableParagraph"/>
              <w:spacing w:line="290" w:lineRule="auto" w:before="27"/>
              <w:ind w:left="107"/>
              <w:rPr>
                <w:sz w:val="20"/>
              </w:rPr>
            </w:pPr>
            <w:r>
              <w:rPr>
                <w:sz w:val="20"/>
              </w:rPr>
              <w:t>2.4} Percent of court users satisfied with court services on resolving property disputes</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11"/>
              <w:rPr>
                <w:b/>
                <w:sz w:val="24"/>
              </w:rPr>
            </w:pPr>
          </w:p>
          <w:p>
            <w:pPr>
              <w:pStyle w:val="TableParagraph"/>
              <w:ind w:left="107"/>
              <w:rPr>
                <w:i/>
                <w:sz w:val="20"/>
              </w:rPr>
            </w:pPr>
            <w:r>
              <w:rPr>
                <w:i/>
                <w:sz w:val="20"/>
              </w:rPr>
              <w:t>IR: More Efficient, Transparent, Independent &amp; Accountable Justice Sector</w:t>
            </w:r>
          </w:p>
        </w:tc>
        <w:tc>
          <w:tcPr>
            <w:tcW w:w="1621" w:type="dxa"/>
            <w:shd w:val="clear" w:color="auto" w:fill="9DBEE4"/>
          </w:tcPr>
          <w:p>
            <w:pPr>
              <w:pStyle w:val="TableParagraph"/>
              <w:rPr>
                <w:b/>
                <w:sz w:val="32"/>
              </w:rPr>
            </w:pPr>
          </w:p>
          <w:p>
            <w:pPr>
              <w:pStyle w:val="TableParagraph"/>
              <w:spacing w:before="1"/>
              <w:ind w:left="321" w:right="314"/>
              <w:jc w:val="center"/>
              <w:rPr>
                <w:i/>
                <w:sz w:val="24"/>
              </w:rPr>
            </w:pPr>
            <w:r>
              <w:rPr>
                <w:i/>
                <w:sz w:val="24"/>
              </w:rPr>
              <w:t>22%</w:t>
            </w:r>
          </w:p>
        </w:tc>
        <w:tc>
          <w:tcPr>
            <w:tcW w:w="1738" w:type="dxa"/>
            <w:tcBorders>
              <w:right w:val="single" w:sz="4" w:space="0" w:color="FFFFFF"/>
            </w:tcBorders>
            <w:shd w:val="clear" w:color="auto" w:fill="9DBEE4"/>
          </w:tcPr>
          <w:p>
            <w:pPr>
              <w:pStyle w:val="TableParagraph"/>
              <w:rPr>
                <w:b/>
                <w:sz w:val="32"/>
              </w:rPr>
            </w:pPr>
          </w:p>
          <w:p>
            <w:pPr>
              <w:pStyle w:val="TableParagraph"/>
              <w:spacing w:before="1"/>
              <w:ind w:left="232" w:right="226"/>
              <w:jc w:val="center"/>
              <w:rPr>
                <w:b/>
                <w:sz w:val="24"/>
              </w:rPr>
            </w:pPr>
            <w:r>
              <w:rPr>
                <w:b/>
                <w:sz w:val="24"/>
              </w:rPr>
              <w:t>52%</w:t>
            </w:r>
          </w:p>
        </w:tc>
        <w:tc>
          <w:tcPr>
            <w:tcW w:w="1530" w:type="dxa"/>
            <w:tcBorders>
              <w:left w:val="single" w:sz="4" w:space="0" w:color="FFFFFF"/>
            </w:tcBorders>
            <w:shd w:val="clear" w:color="auto" w:fill="9DBEE4"/>
          </w:tcPr>
          <w:p>
            <w:pPr>
              <w:pStyle w:val="TableParagraph"/>
              <w:rPr>
                <w:b/>
                <w:sz w:val="32"/>
              </w:rPr>
            </w:pPr>
          </w:p>
          <w:p>
            <w:pPr>
              <w:pStyle w:val="TableParagraph"/>
              <w:spacing w:before="1"/>
              <w:ind w:left="231" w:right="229"/>
              <w:jc w:val="center"/>
              <w:rPr>
                <w:b/>
                <w:sz w:val="24"/>
              </w:rPr>
            </w:pPr>
            <w:r>
              <w:rPr>
                <w:b/>
                <w:sz w:val="24"/>
              </w:rPr>
              <w:t>28%</w:t>
            </w:r>
          </w:p>
        </w:tc>
      </w:tr>
      <w:tr>
        <w:trPr>
          <w:trHeight w:val="1080" w:hRule="atLeast"/>
        </w:trPr>
        <w:tc>
          <w:tcPr>
            <w:tcW w:w="3166" w:type="dxa"/>
            <w:shd w:val="clear" w:color="auto" w:fill="DDDDDD"/>
          </w:tcPr>
          <w:p>
            <w:pPr>
              <w:pStyle w:val="TableParagraph"/>
              <w:spacing w:line="290" w:lineRule="auto" w:before="27"/>
              <w:ind w:left="107" w:right="147"/>
              <w:rPr>
                <w:sz w:val="20"/>
              </w:rPr>
            </w:pPr>
            <w:r>
              <w:rPr>
                <w:sz w:val="20"/>
              </w:rPr>
              <w:t>2.5} Number of judges, lawyers and court staff trained with USG assistance</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rPr>
                <w:b/>
                <w:sz w:val="25"/>
              </w:rPr>
            </w:pPr>
          </w:p>
          <w:p>
            <w:pPr>
              <w:pStyle w:val="TableParagraph"/>
              <w:ind w:left="107"/>
              <w:rPr>
                <w:i/>
                <w:sz w:val="20"/>
              </w:rPr>
            </w:pPr>
            <w:r>
              <w:rPr>
                <w:i/>
                <w:sz w:val="20"/>
              </w:rPr>
              <w:t>IR: More Efficient, Transparent, Independent &amp; Accountable Justice Sector</w:t>
            </w:r>
          </w:p>
        </w:tc>
        <w:tc>
          <w:tcPr>
            <w:tcW w:w="1621" w:type="dxa"/>
            <w:shd w:val="clear" w:color="auto" w:fill="9DBEE4"/>
          </w:tcPr>
          <w:p>
            <w:pPr>
              <w:pStyle w:val="TableParagraph"/>
              <w:spacing w:before="1"/>
              <w:rPr>
                <w:b/>
                <w:sz w:val="32"/>
              </w:rPr>
            </w:pPr>
          </w:p>
          <w:p>
            <w:pPr>
              <w:pStyle w:val="TableParagraph"/>
              <w:ind w:left="5"/>
              <w:jc w:val="center"/>
              <w:rPr>
                <w:i/>
                <w:sz w:val="24"/>
              </w:rPr>
            </w:pPr>
            <w:r>
              <w:rPr>
                <w:i/>
                <w:sz w:val="24"/>
              </w:rPr>
              <w:t>0</w:t>
            </w:r>
          </w:p>
        </w:tc>
        <w:tc>
          <w:tcPr>
            <w:tcW w:w="1738" w:type="dxa"/>
            <w:tcBorders>
              <w:right w:val="single" w:sz="4" w:space="0" w:color="FFFFFF"/>
            </w:tcBorders>
            <w:shd w:val="clear" w:color="auto" w:fill="9DBEE4"/>
          </w:tcPr>
          <w:p>
            <w:pPr>
              <w:pStyle w:val="TableParagraph"/>
              <w:spacing w:before="1"/>
              <w:rPr>
                <w:b/>
                <w:sz w:val="32"/>
              </w:rPr>
            </w:pPr>
          </w:p>
          <w:p>
            <w:pPr>
              <w:pStyle w:val="TableParagraph"/>
              <w:ind w:left="232" w:right="227"/>
              <w:jc w:val="center"/>
              <w:rPr>
                <w:b/>
                <w:sz w:val="24"/>
              </w:rPr>
            </w:pPr>
            <w:r>
              <w:rPr>
                <w:b/>
                <w:sz w:val="24"/>
              </w:rPr>
              <w:t>450</w:t>
            </w:r>
          </w:p>
        </w:tc>
        <w:tc>
          <w:tcPr>
            <w:tcW w:w="1530" w:type="dxa"/>
            <w:tcBorders>
              <w:left w:val="single" w:sz="4" w:space="0" w:color="FFFFFF"/>
            </w:tcBorders>
            <w:shd w:val="clear" w:color="auto" w:fill="9DBEE4"/>
          </w:tcPr>
          <w:p>
            <w:pPr>
              <w:pStyle w:val="TableParagraph"/>
              <w:spacing w:before="1"/>
              <w:rPr>
                <w:b/>
                <w:sz w:val="32"/>
              </w:rPr>
            </w:pPr>
          </w:p>
          <w:p>
            <w:pPr>
              <w:pStyle w:val="TableParagraph"/>
              <w:ind w:left="230" w:right="229"/>
              <w:jc w:val="center"/>
              <w:rPr>
                <w:b/>
                <w:sz w:val="24"/>
              </w:rPr>
            </w:pPr>
            <w:r>
              <w:rPr>
                <w:b/>
                <w:sz w:val="24"/>
              </w:rPr>
              <w:t>118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r>
        <w:rPr/>
        <w:pict>
          <v:line style="position:absolute;mso-position-horizontal-relative:page;mso-position-vertical-relative:paragraph;z-index:-328;mso-wrap-distance-left:0;mso-wrap-distance-right:0" from="72pt,16.836597pt" to="216.02pt,16.836597pt" stroked="true" strokeweight=".600010pt" strokecolor="#6c6362">
            <v:stroke dashstyle="solid"/>
            <w10:wrap type="topAndBottom"/>
          </v:line>
        </w:pict>
      </w:r>
    </w:p>
    <w:p>
      <w:pPr>
        <w:pStyle w:val="BodyText"/>
        <w:spacing w:before="5"/>
        <w:rPr>
          <w:b/>
          <w:sz w:val="12"/>
        </w:rPr>
      </w:pPr>
    </w:p>
    <w:p>
      <w:pPr>
        <w:tabs>
          <w:tab w:pos="388" w:val="left" w:leader="none"/>
        </w:tabs>
        <w:spacing w:before="101"/>
        <w:ind w:left="100" w:right="0" w:firstLine="0"/>
        <w:jc w:val="left"/>
        <w:rPr>
          <w:sz w:val="16"/>
        </w:rPr>
      </w:pPr>
      <w:r>
        <w:rPr/>
        <w:pict>
          <v:group style="position:absolute;margin-left:689.73999pt;margin-top:-342.364014pt;width:.5pt;height:258.1pt;mso-position-horizontal-relative:page;mso-position-vertical-relative:paragraph;z-index:-65416" coordorigin="13795,-6847" coordsize="10,5162">
            <v:shape style="position:absolute;left:13794;top:-6848;width:10;height:803" type="#_x0000_t75" stroked="false">
              <v:imagedata r:id="rId56" o:title=""/>
            </v:shape>
            <v:shape style="position:absolute;left:13794;top:-6046;width:10;height:1090" type="#_x0000_t75" stroked="false">
              <v:imagedata r:id="rId57" o:title=""/>
            </v:shape>
            <v:shape style="position:absolute;left:13794;top:-4956;width:10;height:1082" type="#_x0000_t75" stroked="false">
              <v:imagedata r:id="rId58" o:title=""/>
            </v:shape>
            <v:shape style="position:absolute;left:13794;top:-3866;width:10;height:2180" type="#_x0000_t75" stroked="false">
              <v:imagedata r:id="rId59" o:title=""/>
            </v:shape>
            <w10:wrap type="none"/>
          </v:group>
        </w:pict>
      </w:r>
      <w:r>
        <w:rPr>
          <w:color w:val="6C6362"/>
          <w:position w:val="6"/>
          <w:sz w:val="10"/>
        </w:rPr>
        <w:t>1</w:t>
        <w:tab/>
      </w:r>
      <w:r>
        <w:rPr>
          <w:color w:val="6C6362"/>
          <w:sz w:val="16"/>
        </w:rPr>
        <w:t>This is valid only for the Courts of Merit, 3 Basic Courts (Gjilan, Peja, and Ferizaj) and 1 Branch Court</w:t>
      </w:r>
      <w:r>
        <w:rPr>
          <w:color w:val="6C6362"/>
          <w:spacing w:val="-26"/>
          <w:sz w:val="16"/>
        </w:rPr>
        <w:t> </w:t>
      </w:r>
      <w:r>
        <w:rPr>
          <w:color w:val="6C6362"/>
          <w:sz w:val="16"/>
        </w:rPr>
        <w:t>(Strpce)</w:t>
      </w:r>
    </w:p>
    <w:p>
      <w:pPr>
        <w:spacing w:after="0"/>
        <w:jc w:val="left"/>
        <w:rPr>
          <w:sz w:val="16"/>
        </w:rPr>
        <w:sectPr>
          <w:pgSz w:w="16840" w:h="11910" w:orient="landscape"/>
          <w:pgMar w:header="0" w:footer="640" w:top="1100" w:bottom="900" w:left="1340" w:right="1400"/>
        </w:sectPr>
      </w:pPr>
    </w:p>
    <w:p>
      <w:pPr>
        <w:pStyle w:val="BodyText"/>
        <w:spacing w:before="9"/>
        <w:rPr>
          <w:sz w:val="28"/>
        </w:rPr>
      </w:pPr>
      <w:r>
        <w:rPr/>
        <w:pict>
          <v:group style="position:absolute;margin-left:689.73999pt;margin-top:298.029999pt;width:.5pt;height:191.1pt;mso-position-horizontal-relative:page;mso-position-vertical-relative:page;z-index:-65368" coordorigin="13795,5961" coordsize="10,3822">
            <v:shape style="position:absolute;left:13794;top:5960;width:10;height:1642" type="#_x0000_t75" stroked="false">
              <v:imagedata r:id="rId60" o:title=""/>
            </v:shape>
            <v:shape style="position:absolute;left:13794;top:7602;width:10;height:2180" type="#_x0000_t75" stroked="false">
              <v:imagedata r:id="rId61" o:title=""/>
            </v:shape>
            <w10:wrap type="none"/>
          </v:group>
        </w:pic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6"/>
        <w:gridCol w:w="5831"/>
        <w:gridCol w:w="1621"/>
        <w:gridCol w:w="1738"/>
        <w:gridCol w:w="1530"/>
      </w:tblGrid>
      <w:tr>
        <w:trPr>
          <w:trHeight w:val="1751" w:hRule="atLeast"/>
        </w:trPr>
        <w:tc>
          <w:tcPr>
            <w:tcW w:w="3166" w:type="dxa"/>
            <w:tcBorders>
              <w:right w:val="nil"/>
            </w:tcBorders>
            <w:shd w:val="clear" w:color="auto" w:fill="002A6C"/>
          </w:tcPr>
          <w:p>
            <w:pPr>
              <w:pStyle w:val="TableParagraph"/>
              <w:rPr>
                <w:sz w:val="28"/>
              </w:rPr>
            </w:pPr>
          </w:p>
          <w:p>
            <w:pPr>
              <w:pStyle w:val="TableParagraph"/>
              <w:rPr>
                <w:sz w:val="33"/>
              </w:rPr>
            </w:pPr>
          </w:p>
          <w:p>
            <w:pPr>
              <w:pStyle w:val="TableParagraph"/>
              <w:ind w:left="305"/>
              <w:rPr>
                <w:b/>
                <w:sz w:val="24"/>
              </w:rPr>
            </w:pPr>
            <w:r>
              <w:rPr>
                <w:b/>
                <w:color w:val="FFFFFF"/>
                <w:sz w:val="24"/>
              </w:rPr>
              <w:t>Performance Indicator</w:t>
            </w:r>
          </w:p>
        </w:tc>
        <w:tc>
          <w:tcPr>
            <w:tcW w:w="5831" w:type="dxa"/>
            <w:tcBorders>
              <w:left w:val="nil"/>
              <w:right w:val="nil"/>
            </w:tcBorders>
            <w:shd w:val="clear" w:color="auto" w:fill="002A6C"/>
          </w:tcPr>
          <w:p>
            <w:pPr>
              <w:pStyle w:val="TableParagraph"/>
              <w:rPr>
                <w:sz w:val="28"/>
              </w:rPr>
            </w:pPr>
          </w:p>
          <w:p>
            <w:pPr>
              <w:pStyle w:val="TableParagraph"/>
              <w:rPr>
                <w:sz w:val="33"/>
              </w:rPr>
            </w:pPr>
          </w:p>
          <w:p>
            <w:pPr>
              <w:pStyle w:val="TableParagraph"/>
              <w:ind w:left="2419" w:right="2413"/>
              <w:jc w:val="center"/>
              <w:rPr>
                <w:b/>
                <w:sz w:val="24"/>
              </w:rPr>
            </w:pPr>
            <w:r>
              <w:rPr>
                <w:b/>
                <w:color w:val="FFFFFF"/>
                <w:sz w:val="24"/>
              </w:rPr>
              <w:t>DO &amp; IR</w:t>
            </w:r>
          </w:p>
        </w:tc>
        <w:tc>
          <w:tcPr>
            <w:tcW w:w="1621" w:type="dxa"/>
            <w:tcBorders>
              <w:left w:val="nil"/>
              <w:right w:val="nil"/>
            </w:tcBorders>
            <w:shd w:val="clear" w:color="auto" w:fill="C21139"/>
          </w:tcPr>
          <w:p>
            <w:pPr>
              <w:pStyle w:val="TableParagraph"/>
              <w:rPr>
                <w:sz w:val="28"/>
              </w:rPr>
            </w:pPr>
          </w:p>
          <w:p>
            <w:pPr>
              <w:pStyle w:val="TableParagraph"/>
              <w:spacing w:before="244"/>
              <w:ind w:left="326" w:right="321"/>
              <w:jc w:val="center"/>
              <w:rPr>
                <w:b/>
                <w:sz w:val="24"/>
              </w:rPr>
            </w:pPr>
            <w:r>
              <w:rPr>
                <w:b/>
                <w:color w:val="FFFFFF"/>
                <w:sz w:val="24"/>
              </w:rPr>
              <w:t>Baseline</w:t>
            </w:r>
          </w:p>
        </w:tc>
        <w:tc>
          <w:tcPr>
            <w:tcW w:w="1738" w:type="dxa"/>
            <w:tcBorders>
              <w:left w:val="nil"/>
              <w:right w:val="nil"/>
            </w:tcBorders>
            <w:shd w:val="clear" w:color="auto" w:fill="C21139"/>
          </w:tcPr>
          <w:p>
            <w:pPr>
              <w:pStyle w:val="TableParagraph"/>
              <w:rPr>
                <w:sz w:val="28"/>
              </w:rPr>
            </w:pPr>
          </w:p>
          <w:p>
            <w:pPr>
              <w:pStyle w:val="TableParagraph"/>
              <w:spacing w:before="203"/>
              <w:ind w:left="237" w:right="231"/>
              <w:jc w:val="center"/>
              <w:rPr>
                <w:b/>
                <w:sz w:val="24"/>
              </w:rPr>
            </w:pPr>
            <w:r>
              <w:rPr>
                <w:b/>
                <w:color w:val="FFFFFF"/>
                <w:sz w:val="24"/>
              </w:rPr>
              <w:t>Target</w:t>
            </w:r>
          </w:p>
          <w:p>
            <w:pPr>
              <w:pStyle w:val="TableParagraph"/>
              <w:spacing w:before="18"/>
              <w:ind w:left="237" w:right="234"/>
              <w:jc w:val="center"/>
              <w:rPr>
                <w:b/>
                <w:sz w:val="12"/>
              </w:rPr>
            </w:pPr>
            <w:r>
              <w:rPr>
                <w:b/>
                <w:color w:val="FFFFFF"/>
                <w:sz w:val="12"/>
              </w:rPr>
              <w:t>(</w:t>
            </w:r>
            <w:r>
              <w:rPr>
                <w:b/>
                <w:i/>
                <w:color w:val="FFFFFF"/>
                <w:sz w:val="12"/>
              </w:rPr>
              <w:t>Life of Project-Target</w:t>
            </w:r>
            <w:r>
              <w:rPr>
                <w:b/>
                <w:color w:val="FFFFFF"/>
                <w:sz w:val="12"/>
              </w:rPr>
              <w:t>)</w:t>
            </w:r>
          </w:p>
        </w:tc>
        <w:tc>
          <w:tcPr>
            <w:tcW w:w="1530" w:type="dxa"/>
            <w:tcBorders>
              <w:left w:val="nil"/>
              <w:right w:val="nil"/>
            </w:tcBorders>
            <w:shd w:val="clear" w:color="auto" w:fill="C21139"/>
          </w:tcPr>
          <w:p>
            <w:pPr>
              <w:pStyle w:val="TableParagraph"/>
              <w:rPr>
                <w:sz w:val="28"/>
              </w:rPr>
            </w:pPr>
          </w:p>
          <w:p>
            <w:pPr>
              <w:pStyle w:val="TableParagraph"/>
              <w:spacing w:before="203"/>
              <w:ind w:left="138" w:right="132"/>
              <w:jc w:val="center"/>
              <w:rPr>
                <w:b/>
                <w:sz w:val="24"/>
              </w:rPr>
            </w:pPr>
            <w:r>
              <w:rPr>
                <w:b/>
                <w:color w:val="FFFFFF"/>
                <w:sz w:val="24"/>
              </w:rPr>
              <w:t>Actual</w:t>
            </w:r>
          </w:p>
          <w:p>
            <w:pPr>
              <w:pStyle w:val="TableParagraph"/>
              <w:spacing w:before="18"/>
              <w:ind w:left="138" w:right="134"/>
              <w:jc w:val="center"/>
              <w:rPr>
                <w:b/>
                <w:sz w:val="12"/>
              </w:rPr>
            </w:pPr>
            <w:r>
              <w:rPr>
                <w:b/>
                <w:color w:val="FFFFFF"/>
                <w:sz w:val="12"/>
              </w:rPr>
              <w:t>(</w:t>
            </w:r>
            <w:r>
              <w:rPr>
                <w:b/>
                <w:i/>
                <w:color w:val="FFFFFF"/>
                <w:sz w:val="12"/>
              </w:rPr>
              <w:t>Life of Project-Actual</w:t>
            </w:r>
            <w:r>
              <w:rPr>
                <w:b/>
                <w:color w:val="FFFFFF"/>
                <w:sz w:val="12"/>
              </w:rPr>
              <w:t>)</w:t>
            </w:r>
          </w:p>
        </w:tc>
      </w:tr>
      <w:tr>
        <w:trPr>
          <w:trHeight w:val="1360" w:hRule="atLeast"/>
        </w:trPr>
        <w:tc>
          <w:tcPr>
            <w:tcW w:w="3166" w:type="dxa"/>
            <w:shd w:val="clear" w:color="auto" w:fill="DDDDDD"/>
          </w:tcPr>
          <w:p>
            <w:pPr>
              <w:pStyle w:val="TableParagraph"/>
              <w:spacing w:line="290" w:lineRule="auto" w:before="28"/>
              <w:ind w:left="107" w:right="267"/>
              <w:rPr>
                <w:sz w:val="20"/>
              </w:rPr>
            </w:pPr>
            <w:r>
              <w:rPr>
                <w:sz w:val="20"/>
              </w:rPr>
              <w:t>2.6} Number of USG-assisted courts with improved case management related to resolution of property claims and disputes</w:t>
            </w:r>
          </w:p>
        </w:tc>
        <w:tc>
          <w:tcPr>
            <w:tcW w:w="5831" w:type="dxa"/>
            <w:shd w:val="clear" w:color="auto" w:fill="DDDDDD"/>
          </w:tcPr>
          <w:p>
            <w:pPr>
              <w:pStyle w:val="TableParagraph"/>
              <w:spacing w:before="28"/>
              <w:ind w:left="107"/>
              <w:rPr>
                <w:i/>
                <w:sz w:val="20"/>
              </w:rPr>
            </w:pPr>
            <w:r>
              <w:rPr>
                <w:i/>
                <w:sz w:val="20"/>
              </w:rPr>
              <w:t>DO: Improved Rule of Law and Governance that meet Citizen’s Needs</w:t>
            </w:r>
          </w:p>
          <w:p>
            <w:pPr>
              <w:pStyle w:val="TableParagraph"/>
              <w:spacing w:before="10"/>
              <w:rPr>
                <w:sz w:val="24"/>
              </w:rPr>
            </w:pPr>
          </w:p>
          <w:p>
            <w:pPr>
              <w:pStyle w:val="TableParagraph"/>
              <w:ind w:left="107"/>
              <w:rPr>
                <w:i/>
                <w:sz w:val="20"/>
              </w:rPr>
            </w:pPr>
            <w:r>
              <w:rPr>
                <w:i/>
                <w:sz w:val="20"/>
              </w:rPr>
              <w:t>IR: More Efficient, Transparent, Independent &amp; Accountable Justice Sector</w:t>
            </w:r>
          </w:p>
        </w:tc>
        <w:tc>
          <w:tcPr>
            <w:tcW w:w="1621" w:type="dxa"/>
            <w:shd w:val="clear" w:color="auto" w:fill="9DBEE4"/>
          </w:tcPr>
          <w:p>
            <w:pPr>
              <w:pStyle w:val="TableParagraph"/>
              <w:rPr>
                <w:sz w:val="28"/>
              </w:rPr>
            </w:pPr>
          </w:p>
          <w:p>
            <w:pPr>
              <w:pStyle w:val="TableParagraph"/>
              <w:spacing w:before="189"/>
              <w:ind w:left="5"/>
              <w:jc w:val="center"/>
              <w:rPr>
                <w:i/>
                <w:sz w:val="24"/>
              </w:rPr>
            </w:pPr>
            <w:r>
              <w:rPr>
                <w:i/>
                <w:sz w:val="24"/>
              </w:rPr>
              <w:t>0</w:t>
            </w:r>
          </w:p>
        </w:tc>
        <w:tc>
          <w:tcPr>
            <w:tcW w:w="1738" w:type="dxa"/>
            <w:tcBorders>
              <w:right w:val="nil"/>
            </w:tcBorders>
            <w:shd w:val="clear" w:color="auto" w:fill="9DBEE4"/>
          </w:tcPr>
          <w:p>
            <w:pPr>
              <w:pStyle w:val="TableParagraph"/>
              <w:rPr>
                <w:sz w:val="28"/>
              </w:rPr>
            </w:pPr>
          </w:p>
          <w:p>
            <w:pPr>
              <w:pStyle w:val="TableParagraph"/>
              <w:spacing w:before="189"/>
              <w:jc w:val="center"/>
              <w:rPr>
                <w:b/>
                <w:sz w:val="24"/>
              </w:rPr>
            </w:pPr>
            <w:r>
              <w:rPr>
                <w:b/>
                <w:sz w:val="24"/>
              </w:rPr>
              <w:t>9</w:t>
            </w:r>
          </w:p>
        </w:tc>
        <w:tc>
          <w:tcPr>
            <w:tcW w:w="1530" w:type="dxa"/>
            <w:tcBorders>
              <w:left w:val="nil"/>
            </w:tcBorders>
            <w:shd w:val="clear" w:color="auto" w:fill="9DBEE4"/>
          </w:tcPr>
          <w:p>
            <w:pPr>
              <w:pStyle w:val="TableParagraph"/>
              <w:rPr>
                <w:sz w:val="28"/>
              </w:rPr>
            </w:pPr>
          </w:p>
          <w:p>
            <w:pPr>
              <w:pStyle w:val="TableParagraph"/>
              <w:spacing w:before="181"/>
              <w:ind w:left="134" w:right="123"/>
              <w:jc w:val="center"/>
              <w:rPr>
                <w:b/>
                <w:sz w:val="14"/>
              </w:rPr>
            </w:pPr>
            <w:r>
              <w:rPr>
                <w:b/>
                <w:position w:val="-9"/>
                <w:sz w:val="24"/>
              </w:rPr>
              <w:t>4</w:t>
            </w:r>
            <w:r>
              <w:rPr>
                <w:b/>
                <w:sz w:val="14"/>
              </w:rPr>
              <w:t>2</w:t>
            </w:r>
          </w:p>
        </w:tc>
      </w:tr>
      <w:tr>
        <w:trPr>
          <w:trHeight w:val="1080" w:hRule="atLeast"/>
        </w:trPr>
        <w:tc>
          <w:tcPr>
            <w:tcW w:w="3166" w:type="dxa"/>
            <w:shd w:val="clear" w:color="auto" w:fill="DDDDDD"/>
          </w:tcPr>
          <w:p>
            <w:pPr>
              <w:pStyle w:val="TableParagraph"/>
              <w:spacing w:line="290" w:lineRule="auto" w:before="27"/>
              <w:ind w:left="107" w:right="218"/>
              <w:rPr>
                <w:sz w:val="20"/>
              </w:rPr>
            </w:pPr>
            <w:r>
              <w:rPr>
                <w:sz w:val="20"/>
              </w:rPr>
              <w:t>2.7} Number of legal courses or curricula developed/upgraded with USG assistance</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11"/>
              <w:rPr>
                <w:sz w:val="24"/>
              </w:rPr>
            </w:pPr>
          </w:p>
          <w:p>
            <w:pPr>
              <w:pStyle w:val="TableParagraph"/>
              <w:ind w:left="107"/>
              <w:rPr>
                <w:i/>
                <w:sz w:val="20"/>
              </w:rPr>
            </w:pPr>
            <w:r>
              <w:rPr>
                <w:i/>
                <w:sz w:val="20"/>
              </w:rPr>
              <w:t>IR: More Efficient, Transparent, Independent &amp; Accountable Justice Sector</w:t>
            </w:r>
          </w:p>
        </w:tc>
        <w:tc>
          <w:tcPr>
            <w:tcW w:w="1621" w:type="dxa"/>
            <w:shd w:val="clear" w:color="auto" w:fill="9DBEE4"/>
          </w:tcPr>
          <w:p>
            <w:pPr>
              <w:pStyle w:val="TableParagraph"/>
              <w:rPr>
                <w:sz w:val="32"/>
              </w:rPr>
            </w:pPr>
          </w:p>
          <w:p>
            <w:pPr>
              <w:pStyle w:val="TableParagraph"/>
              <w:spacing w:before="1"/>
              <w:ind w:left="5"/>
              <w:jc w:val="center"/>
              <w:rPr>
                <w:i/>
                <w:sz w:val="24"/>
              </w:rPr>
            </w:pPr>
            <w:r>
              <w:rPr>
                <w:i/>
                <w:sz w:val="24"/>
              </w:rPr>
              <w:t>0</w:t>
            </w:r>
          </w:p>
        </w:tc>
        <w:tc>
          <w:tcPr>
            <w:tcW w:w="1738" w:type="dxa"/>
            <w:tcBorders>
              <w:right w:val="nil"/>
            </w:tcBorders>
            <w:shd w:val="clear" w:color="auto" w:fill="9DBEE4"/>
          </w:tcPr>
          <w:p>
            <w:pPr>
              <w:pStyle w:val="TableParagraph"/>
              <w:rPr>
                <w:sz w:val="32"/>
              </w:rPr>
            </w:pPr>
          </w:p>
          <w:p>
            <w:pPr>
              <w:pStyle w:val="TableParagraph"/>
              <w:spacing w:before="1"/>
              <w:ind w:left="231" w:right="229"/>
              <w:jc w:val="center"/>
              <w:rPr>
                <w:b/>
                <w:sz w:val="24"/>
              </w:rPr>
            </w:pPr>
            <w:r>
              <w:rPr>
                <w:b/>
                <w:sz w:val="24"/>
              </w:rPr>
              <w:t>12</w:t>
            </w:r>
          </w:p>
        </w:tc>
        <w:tc>
          <w:tcPr>
            <w:tcW w:w="1530" w:type="dxa"/>
            <w:tcBorders>
              <w:left w:val="nil"/>
            </w:tcBorders>
            <w:shd w:val="clear" w:color="auto" w:fill="9DBEE4"/>
          </w:tcPr>
          <w:p>
            <w:pPr>
              <w:pStyle w:val="TableParagraph"/>
              <w:rPr>
                <w:sz w:val="32"/>
              </w:rPr>
            </w:pPr>
          </w:p>
          <w:p>
            <w:pPr>
              <w:pStyle w:val="TableParagraph"/>
              <w:spacing w:before="1"/>
              <w:ind w:left="11"/>
              <w:jc w:val="center"/>
              <w:rPr>
                <w:b/>
                <w:sz w:val="24"/>
              </w:rPr>
            </w:pPr>
            <w:r>
              <w:rPr>
                <w:b/>
                <w:sz w:val="24"/>
              </w:rPr>
              <w:t>0</w:t>
            </w:r>
          </w:p>
        </w:tc>
      </w:tr>
      <w:tr>
        <w:trPr>
          <w:trHeight w:val="277" w:hRule="atLeast"/>
        </w:trPr>
        <w:tc>
          <w:tcPr>
            <w:tcW w:w="13886" w:type="dxa"/>
            <w:gridSpan w:val="5"/>
          </w:tcPr>
          <w:p>
            <w:pPr>
              <w:pStyle w:val="TableParagraph"/>
              <w:spacing w:line="250" w:lineRule="exact"/>
              <w:ind w:left="107"/>
              <w:rPr>
                <w:b/>
                <w:sz w:val="24"/>
              </w:rPr>
            </w:pPr>
            <w:r>
              <w:rPr>
                <w:b/>
                <w:sz w:val="24"/>
              </w:rPr>
              <w:t>OBJECTIVE 3: ENHANCED ABILITY FOR WOMEN TO ACCESS THEIR PROPERTY RIGHTS IN PRACTICE</w:t>
            </w:r>
          </w:p>
        </w:tc>
      </w:tr>
      <w:tr>
        <w:trPr>
          <w:trHeight w:val="1641" w:hRule="atLeast"/>
        </w:trPr>
        <w:tc>
          <w:tcPr>
            <w:tcW w:w="3166" w:type="dxa"/>
            <w:shd w:val="clear" w:color="auto" w:fill="DDDDDD"/>
          </w:tcPr>
          <w:p>
            <w:pPr>
              <w:pStyle w:val="TableParagraph"/>
              <w:spacing w:line="290" w:lineRule="auto" w:before="27"/>
              <w:ind w:left="107" w:right="297"/>
              <w:rPr>
                <w:sz w:val="20"/>
              </w:rPr>
            </w:pPr>
            <w:r>
              <w:rPr>
                <w:sz w:val="20"/>
              </w:rPr>
              <w:t>3.1} Number of people from civil society and “E4E CSO-s” staff trained to implement program activities in support of USAID/ Kosovo program objectives</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11"/>
              <w:rPr>
                <w:sz w:val="24"/>
              </w:rPr>
            </w:pPr>
          </w:p>
          <w:p>
            <w:pPr>
              <w:pStyle w:val="TableParagraph"/>
              <w:spacing w:line="290" w:lineRule="auto"/>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sz w:val="28"/>
              </w:rPr>
            </w:pPr>
          </w:p>
          <w:p>
            <w:pPr>
              <w:pStyle w:val="TableParagraph"/>
              <w:spacing w:before="3"/>
              <w:rPr>
                <w:sz w:val="28"/>
              </w:rPr>
            </w:pPr>
          </w:p>
          <w:p>
            <w:pPr>
              <w:pStyle w:val="TableParagraph"/>
              <w:ind w:left="5"/>
              <w:jc w:val="center"/>
              <w:rPr>
                <w:i/>
                <w:sz w:val="24"/>
              </w:rPr>
            </w:pPr>
            <w:r>
              <w:rPr>
                <w:i/>
                <w:sz w:val="24"/>
              </w:rPr>
              <w:t>0</w:t>
            </w:r>
          </w:p>
        </w:tc>
        <w:tc>
          <w:tcPr>
            <w:tcW w:w="1738" w:type="dxa"/>
            <w:tcBorders>
              <w:right w:val="nil"/>
            </w:tcBorders>
            <w:shd w:val="clear" w:color="auto" w:fill="9DBEE4"/>
          </w:tcPr>
          <w:p>
            <w:pPr>
              <w:pStyle w:val="TableParagraph"/>
              <w:rPr>
                <w:sz w:val="28"/>
              </w:rPr>
            </w:pPr>
          </w:p>
          <w:p>
            <w:pPr>
              <w:pStyle w:val="TableParagraph"/>
              <w:spacing w:before="3"/>
              <w:rPr>
                <w:sz w:val="28"/>
              </w:rPr>
            </w:pPr>
          </w:p>
          <w:p>
            <w:pPr>
              <w:pStyle w:val="TableParagraph"/>
              <w:ind w:left="231" w:right="229"/>
              <w:jc w:val="center"/>
              <w:rPr>
                <w:b/>
                <w:sz w:val="24"/>
              </w:rPr>
            </w:pPr>
            <w:r>
              <w:rPr>
                <w:b/>
                <w:sz w:val="24"/>
              </w:rPr>
              <w:t>80</w:t>
            </w:r>
          </w:p>
        </w:tc>
        <w:tc>
          <w:tcPr>
            <w:tcW w:w="1530" w:type="dxa"/>
            <w:tcBorders>
              <w:left w:val="nil"/>
            </w:tcBorders>
            <w:shd w:val="clear" w:color="auto" w:fill="9DBEE4"/>
          </w:tcPr>
          <w:p>
            <w:pPr>
              <w:pStyle w:val="TableParagraph"/>
              <w:rPr>
                <w:sz w:val="28"/>
              </w:rPr>
            </w:pPr>
          </w:p>
          <w:p>
            <w:pPr>
              <w:pStyle w:val="TableParagraph"/>
              <w:spacing w:before="3"/>
              <w:rPr>
                <w:sz w:val="28"/>
              </w:rPr>
            </w:pPr>
          </w:p>
          <w:p>
            <w:pPr>
              <w:pStyle w:val="TableParagraph"/>
              <w:ind w:left="134" w:right="126"/>
              <w:jc w:val="center"/>
              <w:rPr>
                <w:b/>
                <w:sz w:val="24"/>
              </w:rPr>
            </w:pPr>
            <w:r>
              <w:rPr>
                <w:b/>
                <w:sz w:val="24"/>
              </w:rPr>
              <w:t>55</w:t>
            </w:r>
          </w:p>
        </w:tc>
      </w:tr>
      <w:tr>
        <w:trPr>
          <w:trHeight w:val="1598" w:hRule="atLeast"/>
        </w:trPr>
        <w:tc>
          <w:tcPr>
            <w:tcW w:w="3166" w:type="dxa"/>
            <w:shd w:val="clear" w:color="auto" w:fill="DDDDDD"/>
          </w:tcPr>
          <w:p>
            <w:pPr>
              <w:pStyle w:val="TableParagraph"/>
              <w:spacing w:line="290" w:lineRule="auto" w:before="28"/>
              <w:ind w:left="107" w:right="270"/>
              <w:rPr>
                <w:sz w:val="20"/>
              </w:rPr>
            </w:pPr>
            <w:r>
              <w:rPr>
                <w:sz w:val="20"/>
              </w:rPr>
              <w:t>3.2} Number of communication outreach products, developed and disseminated by PRP and “E4E CSO-s”</w:t>
            </w:r>
          </w:p>
        </w:tc>
        <w:tc>
          <w:tcPr>
            <w:tcW w:w="5831" w:type="dxa"/>
            <w:shd w:val="clear" w:color="auto" w:fill="DDDDDD"/>
          </w:tcPr>
          <w:p>
            <w:pPr>
              <w:pStyle w:val="TableParagraph"/>
              <w:spacing w:before="28"/>
              <w:ind w:left="107"/>
              <w:rPr>
                <w:i/>
                <w:sz w:val="20"/>
              </w:rPr>
            </w:pPr>
            <w:r>
              <w:rPr>
                <w:i/>
                <w:sz w:val="20"/>
              </w:rPr>
              <w:t>DO: Improved Rule of Law and Governance that meet Citizen’s Needs</w:t>
            </w:r>
          </w:p>
          <w:p>
            <w:pPr>
              <w:pStyle w:val="TableParagraph"/>
              <w:spacing w:before="8"/>
              <w:rPr>
                <w:sz w:val="24"/>
              </w:rPr>
            </w:pPr>
          </w:p>
          <w:p>
            <w:pPr>
              <w:pStyle w:val="TableParagraph"/>
              <w:spacing w:line="290" w:lineRule="auto"/>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sz w:val="28"/>
              </w:rPr>
            </w:pPr>
          </w:p>
          <w:p>
            <w:pPr>
              <w:pStyle w:val="TableParagraph"/>
              <w:spacing w:before="5"/>
              <w:rPr>
                <w:sz w:val="26"/>
              </w:rPr>
            </w:pPr>
          </w:p>
          <w:p>
            <w:pPr>
              <w:pStyle w:val="TableParagraph"/>
              <w:ind w:left="5"/>
              <w:jc w:val="center"/>
              <w:rPr>
                <w:i/>
                <w:sz w:val="24"/>
              </w:rPr>
            </w:pPr>
            <w:r>
              <w:rPr>
                <w:i/>
                <w:sz w:val="24"/>
              </w:rPr>
              <w:t>0</w:t>
            </w:r>
          </w:p>
        </w:tc>
        <w:tc>
          <w:tcPr>
            <w:tcW w:w="1738" w:type="dxa"/>
            <w:tcBorders>
              <w:right w:val="nil"/>
            </w:tcBorders>
            <w:shd w:val="clear" w:color="auto" w:fill="9DBEE4"/>
          </w:tcPr>
          <w:p>
            <w:pPr>
              <w:pStyle w:val="TableParagraph"/>
              <w:rPr>
                <w:sz w:val="28"/>
              </w:rPr>
            </w:pPr>
          </w:p>
          <w:p>
            <w:pPr>
              <w:pStyle w:val="TableParagraph"/>
              <w:spacing w:before="5"/>
              <w:rPr>
                <w:sz w:val="26"/>
              </w:rPr>
            </w:pPr>
          </w:p>
          <w:p>
            <w:pPr>
              <w:pStyle w:val="TableParagraph"/>
              <w:ind w:left="231" w:right="229"/>
              <w:jc w:val="center"/>
              <w:rPr>
                <w:b/>
                <w:sz w:val="24"/>
              </w:rPr>
            </w:pPr>
            <w:r>
              <w:rPr>
                <w:b/>
                <w:sz w:val="24"/>
              </w:rPr>
              <w:t>70</w:t>
            </w:r>
          </w:p>
        </w:tc>
        <w:tc>
          <w:tcPr>
            <w:tcW w:w="1530" w:type="dxa"/>
            <w:tcBorders>
              <w:left w:val="nil"/>
            </w:tcBorders>
            <w:shd w:val="clear" w:color="auto" w:fill="9DBEE4"/>
          </w:tcPr>
          <w:p>
            <w:pPr>
              <w:pStyle w:val="TableParagraph"/>
              <w:rPr>
                <w:sz w:val="28"/>
              </w:rPr>
            </w:pPr>
          </w:p>
          <w:p>
            <w:pPr>
              <w:pStyle w:val="TableParagraph"/>
              <w:spacing w:before="5"/>
              <w:rPr>
                <w:sz w:val="26"/>
              </w:rPr>
            </w:pPr>
          </w:p>
          <w:p>
            <w:pPr>
              <w:pStyle w:val="TableParagraph"/>
              <w:ind w:left="134" w:right="128"/>
              <w:jc w:val="center"/>
              <w:rPr>
                <w:b/>
                <w:sz w:val="24"/>
              </w:rPr>
            </w:pPr>
            <w:r>
              <w:rPr>
                <w:b/>
                <w:sz w:val="24"/>
              </w:rPr>
              <w:t>111</w:t>
            </w:r>
          </w:p>
        </w:tc>
      </w:tr>
      <w:tr>
        <w:trPr>
          <w:trHeight w:val="561" w:hRule="atLeast"/>
        </w:trPr>
        <w:tc>
          <w:tcPr>
            <w:tcW w:w="3166" w:type="dxa"/>
            <w:shd w:val="clear" w:color="auto" w:fill="DDDDDD"/>
          </w:tcPr>
          <w:p>
            <w:pPr>
              <w:pStyle w:val="TableParagraph"/>
              <w:spacing w:before="30"/>
              <w:ind w:left="107"/>
              <w:rPr>
                <w:sz w:val="20"/>
              </w:rPr>
            </w:pPr>
            <w:r>
              <w:rPr>
                <w:sz w:val="20"/>
              </w:rPr>
              <w:t>3.3} Number of communication and</w:t>
            </w:r>
          </w:p>
          <w:p>
            <w:pPr>
              <w:pStyle w:val="TableParagraph"/>
              <w:spacing w:before="46"/>
              <w:ind w:left="107"/>
              <w:rPr>
                <w:sz w:val="20"/>
              </w:rPr>
            </w:pPr>
            <w:r>
              <w:rPr>
                <w:sz w:val="20"/>
              </w:rPr>
              <w:t>outreach campaigns,</w:t>
            </w:r>
          </w:p>
        </w:tc>
        <w:tc>
          <w:tcPr>
            <w:tcW w:w="5831" w:type="dxa"/>
            <w:shd w:val="clear" w:color="auto" w:fill="DDDDDD"/>
          </w:tcPr>
          <w:p>
            <w:pPr>
              <w:pStyle w:val="TableParagraph"/>
              <w:spacing w:before="30"/>
              <w:ind w:left="107"/>
              <w:rPr>
                <w:i/>
                <w:sz w:val="20"/>
              </w:rPr>
            </w:pPr>
            <w:r>
              <w:rPr>
                <w:i/>
                <w:sz w:val="20"/>
              </w:rPr>
              <w:t>DO: Improved Rule of Law and Governance that meet Citizen’s Needs</w:t>
            </w:r>
          </w:p>
        </w:tc>
        <w:tc>
          <w:tcPr>
            <w:tcW w:w="1621" w:type="dxa"/>
            <w:shd w:val="clear" w:color="auto" w:fill="9DBEE4"/>
          </w:tcPr>
          <w:p>
            <w:pPr>
              <w:pStyle w:val="TableParagraph"/>
              <w:spacing w:before="112"/>
              <w:ind w:left="5"/>
              <w:jc w:val="center"/>
              <w:rPr>
                <w:i/>
                <w:sz w:val="24"/>
              </w:rPr>
            </w:pPr>
            <w:r>
              <w:rPr>
                <w:i/>
                <w:sz w:val="24"/>
              </w:rPr>
              <w:t>0</w:t>
            </w:r>
          </w:p>
        </w:tc>
        <w:tc>
          <w:tcPr>
            <w:tcW w:w="1738" w:type="dxa"/>
            <w:tcBorders>
              <w:right w:val="nil"/>
            </w:tcBorders>
            <w:shd w:val="clear" w:color="auto" w:fill="9DBEE4"/>
          </w:tcPr>
          <w:p>
            <w:pPr>
              <w:pStyle w:val="TableParagraph"/>
              <w:spacing w:before="112"/>
              <w:jc w:val="center"/>
              <w:rPr>
                <w:b/>
                <w:sz w:val="24"/>
              </w:rPr>
            </w:pPr>
            <w:r>
              <w:rPr>
                <w:b/>
                <w:sz w:val="24"/>
              </w:rPr>
              <w:t>1</w:t>
            </w:r>
          </w:p>
        </w:tc>
        <w:tc>
          <w:tcPr>
            <w:tcW w:w="1530" w:type="dxa"/>
            <w:tcBorders>
              <w:left w:val="nil"/>
            </w:tcBorders>
            <w:shd w:val="clear" w:color="auto" w:fill="9DBEE4"/>
          </w:tcPr>
          <w:p>
            <w:pPr>
              <w:pStyle w:val="TableParagraph"/>
              <w:spacing w:before="112"/>
              <w:ind w:left="11"/>
              <w:jc w:val="center"/>
              <w:rPr>
                <w:b/>
                <w:sz w:val="24"/>
              </w:rPr>
            </w:pPr>
            <w:r>
              <w:rPr>
                <w:b/>
                <w:sz w:val="24"/>
              </w:rPr>
              <w:t>1</w:t>
            </w:r>
          </w:p>
        </w:tc>
      </w:tr>
    </w:tbl>
    <w:p>
      <w:pPr>
        <w:pStyle w:val="BodyText"/>
        <w:spacing w:before="4"/>
        <w:rPr>
          <w:sz w:val="12"/>
        </w:rPr>
      </w:pPr>
      <w:r>
        <w:rPr/>
        <w:pict>
          <v:line style="position:absolute;mso-position-horizontal-relative:page;mso-position-vertical-relative:paragraph;z-index:-280;mso-wrap-distance-left:0;mso-wrap-distance-right:0" from="72pt,9.439995pt" to="216.02pt,9.439995pt" stroked="true" strokeweight=".600010pt" strokecolor="#6c6362">
            <v:stroke dashstyle="solid"/>
            <w10:wrap type="topAndBottom"/>
          </v:line>
        </w:pict>
      </w:r>
    </w:p>
    <w:p>
      <w:pPr>
        <w:tabs>
          <w:tab w:pos="388" w:val="left" w:leader="none"/>
        </w:tabs>
        <w:spacing w:before="147"/>
        <w:ind w:left="100" w:right="0" w:firstLine="0"/>
        <w:jc w:val="left"/>
        <w:rPr>
          <w:sz w:val="16"/>
        </w:rPr>
      </w:pPr>
      <w:r>
        <w:rPr>
          <w:color w:val="6C6362"/>
          <w:position w:val="6"/>
          <w:sz w:val="10"/>
        </w:rPr>
        <w:t>2</w:t>
        <w:tab/>
      </w:r>
      <w:r>
        <w:rPr>
          <w:color w:val="6C6362"/>
          <w:sz w:val="16"/>
        </w:rPr>
        <w:t>PRP</w:t>
      </w:r>
      <w:r>
        <w:rPr>
          <w:color w:val="6C6362"/>
          <w:spacing w:val="-2"/>
          <w:sz w:val="16"/>
        </w:rPr>
        <w:t> </w:t>
      </w:r>
      <w:r>
        <w:rPr>
          <w:color w:val="6C6362"/>
          <w:sz w:val="16"/>
        </w:rPr>
        <w:t>is</w:t>
      </w:r>
      <w:r>
        <w:rPr>
          <w:color w:val="6C6362"/>
          <w:spacing w:val="-2"/>
          <w:sz w:val="16"/>
        </w:rPr>
        <w:t> </w:t>
      </w:r>
      <w:r>
        <w:rPr>
          <w:color w:val="6C6362"/>
          <w:sz w:val="16"/>
        </w:rPr>
        <w:t>in</w:t>
      </w:r>
      <w:r>
        <w:rPr>
          <w:color w:val="6C6362"/>
          <w:spacing w:val="-2"/>
          <w:sz w:val="16"/>
        </w:rPr>
        <w:t> </w:t>
      </w:r>
      <w:r>
        <w:rPr>
          <w:color w:val="6C6362"/>
          <w:sz w:val="16"/>
        </w:rPr>
        <w:t>the</w:t>
      </w:r>
      <w:r>
        <w:rPr>
          <w:color w:val="6C6362"/>
          <w:spacing w:val="-5"/>
          <w:sz w:val="16"/>
        </w:rPr>
        <w:t> </w:t>
      </w:r>
      <w:r>
        <w:rPr>
          <w:color w:val="6C6362"/>
          <w:sz w:val="16"/>
        </w:rPr>
        <w:t>process</w:t>
      </w:r>
      <w:r>
        <w:rPr>
          <w:color w:val="6C6362"/>
          <w:spacing w:val="-2"/>
          <w:sz w:val="16"/>
        </w:rPr>
        <w:t> </w:t>
      </w:r>
      <w:r>
        <w:rPr>
          <w:color w:val="6C6362"/>
          <w:sz w:val="16"/>
        </w:rPr>
        <w:t>of</w:t>
      </w:r>
      <w:r>
        <w:rPr>
          <w:color w:val="6C6362"/>
          <w:spacing w:val="-2"/>
          <w:sz w:val="16"/>
        </w:rPr>
        <w:t> </w:t>
      </w:r>
      <w:r>
        <w:rPr>
          <w:color w:val="6C6362"/>
          <w:sz w:val="16"/>
        </w:rPr>
        <w:t>assisting</w:t>
      </w:r>
      <w:r>
        <w:rPr>
          <w:color w:val="6C6362"/>
          <w:spacing w:val="-2"/>
          <w:sz w:val="16"/>
        </w:rPr>
        <w:t> </w:t>
      </w:r>
      <w:r>
        <w:rPr>
          <w:color w:val="6C6362"/>
          <w:sz w:val="16"/>
        </w:rPr>
        <w:t>4</w:t>
      </w:r>
      <w:r>
        <w:rPr>
          <w:color w:val="6C6362"/>
          <w:spacing w:val="-2"/>
          <w:sz w:val="16"/>
        </w:rPr>
        <w:t> </w:t>
      </w:r>
      <w:r>
        <w:rPr>
          <w:color w:val="6C6362"/>
          <w:sz w:val="16"/>
        </w:rPr>
        <w:t>Basic</w:t>
      </w:r>
      <w:r>
        <w:rPr>
          <w:color w:val="6C6362"/>
          <w:spacing w:val="-1"/>
          <w:sz w:val="16"/>
        </w:rPr>
        <w:t> </w:t>
      </w:r>
      <w:r>
        <w:rPr>
          <w:color w:val="6C6362"/>
          <w:sz w:val="16"/>
        </w:rPr>
        <w:t>Courts</w:t>
      </w:r>
      <w:r>
        <w:rPr>
          <w:color w:val="6C6362"/>
          <w:spacing w:val="-2"/>
          <w:sz w:val="16"/>
        </w:rPr>
        <w:t> </w:t>
      </w:r>
      <w:r>
        <w:rPr>
          <w:color w:val="6C6362"/>
          <w:sz w:val="16"/>
        </w:rPr>
        <w:t>(Gjilan, Peja, Ferizaj,</w:t>
      </w:r>
      <w:r>
        <w:rPr>
          <w:color w:val="6C6362"/>
          <w:spacing w:val="-3"/>
          <w:sz w:val="16"/>
        </w:rPr>
        <w:t> </w:t>
      </w:r>
      <w:r>
        <w:rPr>
          <w:color w:val="6C6362"/>
          <w:sz w:val="16"/>
        </w:rPr>
        <w:t>and</w:t>
      </w:r>
      <w:r>
        <w:rPr>
          <w:color w:val="6C6362"/>
          <w:spacing w:val="-3"/>
          <w:sz w:val="16"/>
        </w:rPr>
        <w:t> </w:t>
      </w:r>
      <w:r>
        <w:rPr>
          <w:color w:val="6C6362"/>
          <w:sz w:val="16"/>
        </w:rPr>
        <w:t>the</w:t>
      </w:r>
      <w:r>
        <w:rPr>
          <w:color w:val="6C6362"/>
          <w:spacing w:val="-3"/>
          <w:sz w:val="16"/>
        </w:rPr>
        <w:t> </w:t>
      </w:r>
      <w:r>
        <w:rPr>
          <w:color w:val="6C6362"/>
          <w:sz w:val="16"/>
        </w:rPr>
        <w:t>Branch</w:t>
      </w:r>
      <w:r>
        <w:rPr>
          <w:color w:val="6C6362"/>
          <w:spacing w:val="1"/>
          <w:sz w:val="16"/>
        </w:rPr>
        <w:t> </w:t>
      </w:r>
      <w:r>
        <w:rPr>
          <w:color w:val="6C6362"/>
          <w:sz w:val="16"/>
        </w:rPr>
        <w:t>Court</w:t>
      </w:r>
      <w:r>
        <w:rPr>
          <w:color w:val="6C6362"/>
          <w:spacing w:val="-1"/>
          <w:sz w:val="16"/>
        </w:rPr>
        <w:t> </w:t>
      </w:r>
      <w:r>
        <w:rPr>
          <w:color w:val="6C6362"/>
          <w:sz w:val="16"/>
        </w:rPr>
        <w:t>of</w:t>
      </w:r>
      <w:r>
        <w:rPr>
          <w:color w:val="6C6362"/>
          <w:spacing w:val="8"/>
          <w:sz w:val="16"/>
        </w:rPr>
        <w:t> </w:t>
      </w:r>
      <w:r>
        <w:rPr>
          <w:color w:val="6C6362"/>
          <w:sz w:val="16"/>
        </w:rPr>
        <w:t>Strpce) with</w:t>
      </w:r>
      <w:r>
        <w:rPr>
          <w:color w:val="6C6362"/>
          <w:spacing w:val="-2"/>
          <w:sz w:val="16"/>
        </w:rPr>
        <w:t> </w:t>
      </w:r>
      <w:r>
        <w:rPr>
          <w:color w:val="6C6362"/>
          <w:sz w:val="16"/>
        </w:rPr>
        <w:t>improved</w:t>
      </w:r>
      <w:r>
        <w:rPr>
          <w:color w:val="6C6362"/>
          <w:spacing w:val="-2"/>
          <w:sz w:val="16"/>
        </w:rPr>
        <w:t> </w:t>
      </w:r>
      <w:r>
        <w:rPr>
          <w:color w:val="6C6362"/>
          <w:sz w:val="16"/>
        </w:rPr>
        <w:t>case</w:t>
      </w:r>
      <w:r>
        <w:rPr>
          <w:color w:val="6C6362"/>
          <w:spacing w:val="-3"/>
          <w:sz w:val="16"/>
        </w:rPr>
        <w:t> </w:t>
      </w:r>
      <w:r>
        <w:rPr>
          <w:color w:val="6C6362"/>
          <w:sz w:val="16"/>
        </w:rPr>
        <w:t>management</w:t>
      </w:r>
      <w:r>
        <w:rPr>
          <w:color w:val="6C6362"/>
          <w:spacing w:val="-3"/>
          <w:sz w:val="16"/>
        </w:rPr>
        <w:t> </w:t>
      </w:r>
      <w:r>
        <w:rPr>
          <w:color w:val="6C6362"/>
          <w:sz w:val="16"/>
        </w:rPr>
        <w:t>related</w:t>
      </w:r>
      <w:r>
        <w:rPr>
          <w:color w:val="6C6362"/>
          <w:spacing w:val="-1"/>
          <w:sz w:val="16"/>
        </w:rPr>
        <w:t> </w:t>
      </w:r>
      <w:r>
        <w:rPr>
          <w:color w:val="6C6362"/>
          <w:sz w:val="16"/>
        </w:rPr>
        <w:t>to</w:t>
      </w:r>
      <w:r>
        <w:rPr>
          <w:color w:val="6C6362"/>
          <w:spacing w:val="-3"/>
          <w:sz w:val="16"/>
        </w:rPr>
        <w:t> </w:t>
      </w:r>
      <w:r>
        <w:rPr>
          <w:color w:val="6C6362"/>
          <w:sz w:val="16"/>
        </w:rPr>
        <w:t>resolution</w:t>
      </w:r>
      <w:r>
        <w:rPr>
          <w:color w:val="6C6362"/>
          <w:spacing w:val="-2"/>
          <w:sz w:val="16"/>
        </w:rPr>
        <w:t> </w:t>
      </w:r>
      <w:r>
        <w:rPr>
          <w:color w:val="6C6362"/>
          <w:sz w:val="16"/>
        </w:rPr>
        <w:t>of</w:t>
      </w:r>
      <w:r>
        <w:rPr>
          <w:color w:val="6C6362"/>
          <w:spacing w:val="-2"/>
          <w:sz w:val="16"/>
        </w:rPr>
        <w:t> </w:t>
      </w:r>
      <w:r>
        <w:rPr>
          <w:color w:val="6C6362"/>
          <w:sz w:val="16"/>
        </w:rPr>
        <w:t>property</w:t>
      </w:r>
      <w:r>
        <w:rPr>
          <w:color w:val="6C6362"/>
          <w:spacing w:val="-1"/>
          <w:sz w:val="16"/>
        </w:rPr>
        <w:t> </w:t>
      </w:r>
      <w:r>
        <w:rPr>
          <w:color w:val="6C6362"/>
          <w:sz w:val="16"/>
        </w:rPr>
        <w:t>claims</w:t>
      </w:r>
      <w:r>
        <w:rPr>
          <w:color w:val="6C6362"/>
          <w:spacing w:val="-2"/>
          <w:sz w:val="16"/>
        </w:rPr>
        <w:t> </w:t>
      </w:r>
      <w:r>
        <w:rPr>
          <w:color w:val="6C6362"/>
          <w:sz w:val="16"/>
        </w:rPr>
        <w:t>and</w:t>
      </w:r>
      <w:r>
        <w:rPr>
          <w:color w:val="6C6362"/>
          <w:spacing w:val="-3"/>
          <w:sz w:val="16"/>
        </w:rPr>
        <w:t> </w:t>
      </w:r>
      <w:r>
        <w:rPr>
          <w:color w:val="6C6362"/>
          <w:sz w:val="16"/>
        </w:rPr>
        <w:t>disputes.</w:t>
      </w:r>
    </w:p>
    <w:p>
      <w:pPr>
        <w:spacing w:after="0"/>
        <w:jc w:val="left"/>
        <w:rPr>
          <w:sz w:val="16"/>
        </w:rPr>
        <w:sectPr>
          <w:pgSz w:w="16840" w:h="11910" w:orient="landscape"/>
          <w:pgMar w:header="0" w:footer="640" w:top="1100" w:bottom="900" w:left="1340" w:right="1400"/>
        </w:sectPr>
      </w:pPr>
    </w:p>
    <w:p>
      <w:pPr>
        <w:pStyle w:val="BodyText"/>
        <w:rPr>
          <w:rFonts w:ascii="Times New Roman"/>
          <w:sz w:val="29"/>
        </w:rPr>
      </w:pPr>
      <w:r>
        <w:rPr/>
        <w:pict>
          <v:group style="position:absolute;margin-left:689.73999pt;margin-top:160.580002pt;width:.5pt;height:247.05pt;mso-position-horizontal-relative:page;mso-position-vertical-relative:page;z-index:-65344" coordorigin="13795,3212" coordsize="10,4941">
            <v:shape style="position:absolute;left:13794;top:3211;width:10;height:1081" type="#_x0000_t75" stroked="false">
              <v:imagedata r:id="rId62" o:title=""/>
            </v:shape>
            <v:shape style="position:absolute;left:13794;top:4292;width:10;height:1930" type="#_x0000_t75" stroked="false">
              <v:imagedata r:id="rId63" o:title=""/>
            </v:shape>
            <v:shape style="position:absolute;left:13794;top:6222;width:10;height:1931" type="#_x0000_t75" stroked="false">
              <v:imagedata r:id="rId64" o:title=""/>
            </v:shape>
            <w10:wrap type="none"/>
          </v:group>
        </w:pic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6"/>
        <w:gridCol w:w="5831"/>
        <w:gridCol w:w="1621"/>
        <w:gridCol w:w="1738"/>
        <w:gridCol w:w="1530"/>
      </w:tblGrid>
      <w:tr>
        <w:trPr>
          <w:trHeight w:val="1751" w:hRule="atLeast"/>
        </w:trPr>
        <w:tc>
          <w:tcPr>
            <w:tcW w:w="3166" w:type="dxa"/>
            <w:tcBorders>
              <w:right w:val="nil"/>
            </w:tcBorders>
            <w:shd w:val="clear" w:color="auto" w:fill="002A6C"/>
          </w:tcPr>
          <w:p>
            <w:pPr>
              <w:pStyle w:val="TableParagraph"/>
              <w:rPr>
                <w:rFonts w:ascii="Times New Roman"/>
                <w:sz w:val="28"/>
              </w:rPr>
            </w:pPr>
          </w:p>
          <w:p>
            <w:pPr>
              <w:pStyle w:val="TableParagraph"/>
              <w:spacing w:before="6"/>
              <w:rPr>
                <w:rFonts w:ascii="Times New Roman"/>
                <w:sz w:val="33"/>
              </w:rPr>
            </w:pPr>
          </w:p>
          <w:p>
            <w:pPr>
              <w:pStyle w:val="TableParagraph"/>
              <w:ind w:left="305"/>
              <w:rPr>
                <w:b/>
                <w:sz w:val="24"/>
              </w:rPr>
            </w:pPr>
            <w:r>
              <w:rPr>
                <w:b/>
                <w:color w:val="FFFFFF"/>
                <w:sz w:val="24"/>
              </w:rPr>
              <w:t>Performance Indicator</w:t>
            </w:r>
          </w:p>
        </w:tc>
        <w:tc>
          <w:tcPr>
            <w:tcW w:w="5831" w:type="dxa"/>
            <w:tcBorders>
              <w:left w:val="nil"/>
              <w:right w:val="nil"/>
            </w:tcBorders>
            <w:shd w:val="clear" w:color="auto" w:fill="002A6C"/>
          </w:tcPr>
          <w:p>
            <w:pPr>
              <w:pStyle w:val="TableParagraph"/>
              <w:rPr>
                <w:rFonts w:ascii="Times New Roman"/>
                <w:sz w:val="28"/>
              </w:rPr>
            </w:pPr>
          </w:p>
          <w:p>
            <w:pPr>
              <w:pStyle w:val="TableParagraph"/>
              <w:spacing w:before="6"/>
              <w:rPr>
                <w:rFonts w:ascii="Times New Roman"/>
                <w:sz w:val="33"/>
              </w:rPr>
            </w:pPr>
          </w:p>
          <w:p>
            <w:pPr>
              <w:pStyle w:val="TableParagraph"/>
              <w:ind w:left="2419" w:right="2413"/>
              <w:jc w:val="center"/>
              <w:rPr>
                <w:b/>
                <w:sz w:val="24"/>
              </w:rPr>
            </w:pPr>
            <w:r>
              <w:rPr>
                <w:b/>
                <w:color w:val="FFFFFF"/>
                <w:sz w:val="24"/>
              </w:rPr>
              <w:t>DO &amp; IR</w:t>
            </w:r>
          </w:p>
        </w:tc>
        <w:tc>
          <w:tcPr>
            <w:tcW w:w="1621" w:type="dxa"/>
            <w:tcBorders>
              <w:left w:val="nil"/>
              <w:right w:val="nil"/>
            </w:tcBorders>
            <w:shd w:val="clear" w:color="auto" w:fill="C21139"/>
          </w:tcPr>
          <w:p>
            <w:pPr>
              <w:pStyle w:val="TableParagraph"/>
              <w:rPr>
                <w:rFonts w:ascii="Times New Roman"/>
                <w:sz w:val="28"/>
              </w:rPr>
            </w:pPr>
          </w:p>
          <w:p>
            <w:pPr>
              <w:pStyle w:val="TableParagraph"/>
              <w:spacing w:before="247"/>
              <w:ind w:left="326" w:right="321"/>
              <w:jc w:val="center"/>
              <w:rPr>
                <w:b/>
                <w:sz w:val="24"/>
              </w:rPr>
            </w:pPr>
            <w:r>
              <w:rPr>
                <w:b/>
                <w:color w:val="FFFFFF"/>
                <w:sz w:val="24"/>
              </w:rPr>
              <w:t>Baseline</w:t>
            </w:r>
          </w:p>
        </w:tc>
        <w:tc>
          <w:tcPr>
            <w:tcW w:w="1738" w:type="dxa"/>
            <w:tcBorders>
              <w:left w:val="nil"/>
              <w:right w:val="single" w:sz="4" w:space="0" w:color="FFFFFF"/>
            </w:tcBorders>
            <w:shd w:val="clear" w:color="auto" w:fill="C21139"/>
          </w:tcPr>
          <w:p>
            <w:pPr>
              <w:pStyle w:val="TableParagraph"/>
              <w:rPr>
                <w:rFonts w:ascii="Times New Roman"/>
                <w:sz w:val="28"/>
              </w:rPr>
            </w:pPr>
          </w:p>
          <w:p>
            <w:pPr>
              <w:pStyle w:val="TableParagraph"/>
              <w:spacing w:before="206"/>
              <w:ind w:left="237" w:right="226"/>
              <w:jc w:val="center"/>
              <w:rPr>
                <w:b/>
                <w:sz w:val="24"/>
              </w:rPr>
            </w:pPr>
            <w:r>
              <w:rPr>
                <w:b/>
                <w:color w:val="FFFFFF"/>
                <w:sz w:val="24"/>
              </w:rPr>
              <w:t>Target</w:t>
            </w:r>
          </w:p>
          <w:p>
            <w:pPr>
              <w:pStyle w:val="TableParagraph"/>
              <w:spacing w:before="18"/>
              <w:ind w:left="237" w:right="229"/>
              <w:jc w:val="center"/>
              <w:rPr>
                <w:b/>
                <w:sz w:val="12"/>
              </w:rPr>
            </w:pPr>
            <w:r>
              <w:rPr>
                <w:b/>
                <w:color w:val="FFFFFF"/>
                <w:sz w:val="12"/>
              </w:rPr>
              <w:t>(</w:t>
            </w:r>
            <w:r>
              <w:rPr>
                <w:b/>
                <w:i/>
                <w:color w:val="FFFFFF"/>
                <w:sz w:val="12"/>
              </w:rPr>
              <w:t>Life of Project-Target</w:t>
            </w:r>
            <w:r>
              <w:rPr>
                <w:b/>
                <w:color w:val="FFFFFF"/>
                <w:sz w:val="12"/>
              </w:rPr>
              <w:t>)</w:t>
            </w:r>
          </w:p>
        </w:tc>
        <w:tc>
          <w:tcPr>
            <w:tcW w:w="1530" w:type="dxa"/>
            <w:tcBorders>
              <w:left w:val="single" w:sz="4" w:space="0" w:color="FFFFFF"/>
              <w:right w:val="nil"/>
            </w:tcBorders>
            <w:shd w:val="clear" w:color="auto" w:fill="C21139"/>
          </w:tcPr>
          <w:p>
            <w:pPr>
              <w:pStyle w:val="TableParagraph"/>
              <w:rPr>
                <w:rFonts w:ascii="Times New Roman"/>
                <w:sz w:val="28"/>
              </w:rPr>
            </w:pPr>
          </w:p>
          <w:p>
            <w:pPr>
              <w:pStyle w:val="TableParagraph"/>
              <w:spacing w:before="206"/>
              <w:ind w:left="134" w:right="133"/>
              <w:jc w:val="center"/>
              <w:rPr>
                <w:b/>
                <w:sz w:val="24"/>
              </w:rPr>
            </w:pPr>
            <w:r>
              <w:rPr>
                <w:b/>
                <w:color w:val="FFFFFF"/>
                <w:sz w:val="24"/>
              </w:rPr>
              <w:t>Actual</w:t>
            </w:r>
          </w:p>
          <w:p>
            <w:pPr>
              <w:pStyle w:val="TableParagraph"/>
              <w:spacing w:before="18"/>
              <w:ind w:left="134" w:right="134"/>
              <w:jc w:val="center"/>
              <w:rPr>
                <w:b/>
                <w:sz w:val="12"/>
              </w:rPr>
            </w:pPr>
            <w:r>
              <w:rPr>
                <w:b/>
                <w:color w:val="FFFFFF"/>
                <w:sz w:val="12"/>
              </w:rPr>
              <w:t>(</w:t>
            </w:r>
            <w:r>
              <w:rPr>
                <w:b/>
                <w:i/>
                <w:color w:val="FFFFFF"/>
                <w:sz w:val="12"/>
              </w:rPr>
              <w:t>Life of Project-Actual</w:t>
            </w:r>
            <w:r>
              <w:rPr>
                <w:b/>
                <w:color w:val="FFFFFF"/>
                <w:sz w:val="12"/>
              </w:rPr>
              <w:t>)</w:t>
            </w:r>
          </w:p>
        </w:tc>
      </w:tr>
      <w:tr>
        <w:trPr>
          <w:trHeight w:val="1080" w:hRule="atLeast"/>
        </w:trPr>
        <w:tc>
          <w:tcPr>
            <w:tcW w:w="3166" w:type="dxa"/>
            <w:shd w:val="clear" w:color="auto" w:fill="DDDDDD"/>
          </w:tcPr>
          <w:p>
            <w:pPr>
              <w:pStyle w:val="TableParagraph"/>
              <w:spacing w:line="290" w:lineRule="auto" w:before="28"/>
              <w:ind w:left="107" w:right="628"/>
              <w:rPr>
                <w:sz w:val="20"/>
              </w:rPr>
            </w:pPr>
            <w:r>
              <w:rPr>
                <w:sz w:val="20"/>
              </w:rPr>
              <w:t>developed/supported by USG assistance</w:t>
            </w:r>
          </w:p>
        </w:tc>
        <w:tc>
          <w:tcPr>
            <w:tcW w:w="5831" w:type="dxa"/>
            <w:shd w:val="clear" w:color="auto" w:fill="DDDDDD"/>
          </w:tcPr>
          <w:p>
            <w:pPr>
              <w:pStyle w:val="TableParagraph"/>
              <w:spacing w:line="290" w:lineRule="auto" w:before="28"/>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rFonts w:ascii="Times New Roman"/>
                <w:sz w:val="18"/>
              </w:rPr>
            </w:pPr>
          </w:p>
        </w:tc>
        <w:tc>
          <w:tcPr>
            <w:tcW w:w="1738" w:type="dxa"/>
            <w:tcBorders>
              <w:right w:val="single" w:sz="4" w:space="0" w:color="FFFFFF"/>
            </w:tcBorders>
            <w:shd w:val="clear" w:color="auto" w:fill="9DBEE4"/>
          </w:tcPr>
          <w:p>
            <w:pPr>
              <w:pStyle w:val="TableParagraph"/>
              <w:rPr>
                <w:rFonts w:ascii="Times New Roman"/>
                <w:sz w:val="18"/>
              </w:rPr>
            </w:pPr>
          </w:p>
        </w:tc>
        <w:tc>
          <w:tcPr>
            <w:tcW w:w="1530" w:type="dxa"/>
            <w:tcBorders>
              <w:left w:val="single" w:sz="4" w:space="0" w:color="FFFFFF"/>
            </w:tcBorders>
            <w:shd w:val="clear" w:color="auto" w:fill="9DBEE4"/>
          </w:tcPr>
          <w:p>
            <w:pPr>
              <w:pStyle w:val="TableParagraph"/>
              <w:rPr>
                <w:rFonts w:ascii="Times New Roman"/>
                <w:sz w:val="18"/>
              </w:rPr>
            </w:pPr>
          </w:p>
        </w:tc>
      </w:tr>
      <w:tr>
        <w:trPr>
          <w:trHeight w:val="1919" w:hRule="atLeast"/>
        </w:trPr>
        <w:tc>
          <w:tcPr>
            <w:tcW w:w="3166" w:type="dxa"/>
            <w:shd w:val="clear" w:color="auto" w:fill="DDDDDD"/>
          </w:tcPr>
          <w:p>
            <w:pPr>
              <w:pStyle w:val="TableParagraph"/>
              <w:spacing w:line="290" w:lineRule="auto" w:before="27"/>
              <w:ind w:left="107"/>
              <w:rPr>
                <w:sz w:val="20"/>
              </w:rPr>
            </w:pPr>
            <w:r>
              <w:rPr>
                <w:sz w:val="20"/>
              </w:rPr>
              <w:t>3.4} Number of communication outreach activities and events developed and implemented by PRP and “E4E CSO-s to change cultural attitudes and behaviors about women’s property rights</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1"/>
              <w:rPr>
                <w:rFonts w:ascii="Times New Roman"/>
                <w:sz w:val="25"/>
              </w:rPr>
            </w:pPr>
          </w:p>
          <w:p>
            <w:pPr>
              <w:pStyle w:val="TableParagraph"/>
              <w:spacing w:line="290" w:lineRule="auto" w:before="1"/>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rFonts w:ascii="Times New Roman"/>
                <w:sz w:val="28"/>
              </w:rPr>
            </w:pPr>
          </w:p>
          <w:p>
            <w:pPr>
              <w:pStyle w:val="TableParagraph"/>
              <w:spacing w:before="10"/>
              <w:rPr>
                <w:rFonts w:ascii="Times New Roman"/>
                <w:sz w:val="40"/>
              </w:rPr>
            </w:pPr>
          </w:p>
          <w:p>
            <w:pPr>
              <w:pStyle w:val="TableParagraph"/>
              <w:ind w:left="5"/>
              <w:jc w:val="center"/>
              <w:rPr>
                <w:i/>
                <w:sz w:val="24"/>
              </w:rPr>
            </w:pPr>
            <w:r>
              <w:rPr>
                <w:i/>
                <w:sz w:val="24"/>
              </w:rPr>
              <w:t>0</w:t>
            </w:r>
          </w:p>
        </w:tc>
        <w:tc>
          <w:tcPr>
            <w:tcW w:w="1738" w:type="dxa"/>
            <w:tcBorders>
              <w:right w:val="single" w:sz="4" w:space="0" w:color="FFFFFF"/>
            </w:tcBorders>
            <w:shd w:val="clear" w:color="auto" w:fill="9DBEE4"/>
          </w:tcPr>
          <w:p>
            <w:pPr>
              <w:pStyle w:val="TableParagraph"/>
              <w:rPr>
                <w:rFonts w:ascii="Times New Roman"/>
                <w:sz w:val="28"/>
              </w:rPr>
            </w:pPr>
          </w:p>
          <w:p>
            <w:pPr>
              <w:pStyle w:val="TableParagraph"/>
              <w:spacing w:before="10"/>
              <w:rPr>
                <w:rFonts w:ascii="Times New Roman"/>
                <w:sz w:val="40"/>
              </w:rPr>
            </w:pPr>
          </w:p>
          <w:p>
            <w:pPr>
              <w:pStyle w:val="TableParagraph"/>
              <w:ind w:left="232" w:right="227"/>
              <w:jc w:val="center"/>
              <w:rPr>
                <w:b/>
                <w:sz w:val="24"/>
              </w:rPr>
            </w:pPr>
            <w:r>
              <w:rPr>
                <w:b/>
                <w:sz w:val="24"/>
              </w:rPr>
              <w:t>114</w:t>
            </w:r>
          </w:p>
        </w:tc>
        <w:tc>
          <w:tcPr>
            <w:tcW w:w="1530" w:type="dxa"/>
            <w:tcBorders>
              <w:left w:val="single" w:sz="4" w:space="0" w:color="FFFFFF"/>
            </w:tcBorders>
            <w:shd w:val="clear" w:color="auto" w:fill="9DBEE4"/>
          </w:tcPr>
          <w:p>
            <w:pPr>
              <w:pStyle w:val="TableParagraph"/>
              <w:rPr>
                <w:rFonts w:ascii="Times New Roman"/>
                <w:sz w:val="28"/>
              </w:rPr>
            </w:pPr>
          </w:p>
          <w:p>
            <w:pPr>
              <w:pStyle w:val="TableParagraph"/>
              <w:spacing w:before="10"/>
              <w:rPr>
                <w:rFonts w:ascii="Times New Roman"/>
                <w:sz w:val="40"/>
              </w:rPr>
            </w:pPr>
          </w:p>
          <w:p>
            <w:pPr>
              <w:pStyle w:val="TableParagraph"/>
              <w:ind w:left="231" w:right="229"/>
              <w:jc w:val="center"/>
              <w:rPr>
                <w:b/>
                <w:sz w:val="24"/>
              </w:rPr>
            </w:pPr>
            <w:r>
              <w:rPr>
                <w:b/>
                <w:sz w:val="24"/>
              </w:rPr>
              <w:t>124</w:t>
            </w:r>
          </w:p>
        </w:tc>
      </w:tr>
      <w:tr>
        <w:trPr>
          <w:trHeight w:val="1922" w:hRule="atLeast"/>
        </w:trPr>
        <w:tc>
          <w:tcPr>
            <w:tcW w:w="3166" w:type="dxa"/>
            <w:shd w:val="clear" w:color="auto" w:fill="DDDDDD"/>
          </w:tcPr>
          <w:p>
            <w:pPr>
              <w:pStyle w:val="TableParagraph"/>
              <w:spacing w:line="290" w:lineRule="auto" w:before="30"/>
              <w:ind w:left="107" w:right="163"/>
              <w:rPr>
                <w:sz w:val="20"/>
              </w:rPr>
            </w:pPr>
            <w:r>
              <w:rPr>
                <w:sz w:val="20"/>
              </w:rPr>
              <w:t>3.5} Percentage of citizens who have been reached by PRP and E4E lead social behavior campaign and recognize the PRP and E4E CSO </w:t>
            </w:r>
            <w:r>
              <w:rPr>
                <w:w w:val="95"/>
                <w:sz w:val="20"/>
              </w:rPr>
              <w:t>campaign/brand/identity/logo/messa </w:t>
            </w:r>
            <w:r>
              <w:rPr>
                <w:sz w:val="20"/>
              </w:rPr>
              <w:t>ges/content</w:t>
            </w:r>
          </w:p>
        </w:tc>
        <w:tc>
          <w:tcPr>
            <w:tcW w:w="5831" w:type="dxa"/>
            <w:shd w:val="clear" w:color="auto" w:fill="DDDDDD"/>
          </w:tcPr>
          <w:p>
            <w:pPr>
              <w:pStyle w:val="TableParagraph"/>
              <w:spacing w:before="30"/>
              <w:ind w:left="107"/>
              <w:rPr>
                <w:i/>
                <w:sz w:val="20"/>
              </w:rPr>
            </w:pPr>
            <w:r>
              <w:rPr>
                <w:i/>
                <w:sz w:val="20"/>
              </w:rPr>
              <w:t>DO: Improved Rule of Law and Governance that meet Citizen’s Needs</w:t>
            </w:r>
          </w:p>
          <w:p>
            <w:pPr>
              <w:pStyle w:val="TableParagraph"/>
              <w:spacing w:before="10"/>
              <w:rPr>
                <w:rFonts w:ascii="Times New Roman"/>
                <w:sz w:val="24"/>
              </w:rPr>
            </w:pPr>
          </w:p>
          <w:p>
            <w:pPr>
              <w:pStyle w:val="TableParagraph"/>
              <w:spacing w:line="290" w:lineRule="auto"/>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rFonts w:ascii="Times New Roman"/>
                <w:sz w:val="28"/>
              </w:rPr>
            </w:pPr>
          </w:p>
          <w:p>
            <w:pPr>
              <w:pStyle w:val="TableParagraph"/>
              <w:rPr>
                <w:rFonts w:ascii="Times New Roman"/>
                <w:sz w:val="41"/>
              </w:rPr>
            </w:pPr>
          </w:p>
          <w:p>
            <w:pPr>
              <w:pStyle w:val="TableParagraph"/>
              <w:spacing w:before="1"/>
              <w:ind w:left="5"/>
              <w:jc w:val="center"/>
              <w:rPr>
                <w:i/>
                <w:sz w:val="24"/>
              </w:rPr>
            </w:pPr>
            <w:r>
              <w:rPr>
                <w:i/>
                <w:sz w:val="24"/>
              </w:rPr>
              <w:t>0</w:t>
            </w:r>
          </w:p>
        </w:tc>
        <w:tc>
          <w:tcPr>
            <w:tcW w:w="1738" w:type="dxa"/>
            <w:tcBorders>
              <w:right w:val="single" w:sz="4" w:space="0" w:color="FFFFFF"/>
            </w:tcBorders>
            <w:shd w:val="clear" w:color="auto" w:fill="9DBEE4"/>
          </w:tcPr>
          <w:p>
            <w:pPr>
              <w:pStyle w:val="TableParagraph"/>
              <w:rPr>
                <w:rFonts w:ascii="Times New Roman"/>
                <w:sz w:val="28"/>
              </w:rPr>
            </w:pPr>
          </w:p>
          <w:p>
            <w:pPr>
              <w:pStyle w:val="TableParagraph"/>
              <w:rPr>
                <w:rFonts w:ascii="Times New Roman"/>
                <w:sz w:val="41"/>
              </w:rPr>
            </w:pPr>
          </w:p>
          <w:p>
            <w:pPr>
              <w:pStyle w:val="TableParagraph"/>
              <w:spacing w:before="1"/>
              <w:ind w:left="232" w:right="226"/>
              <w:jc w:val="center"/>
              <w:rPr>
                <w:b/>
                <w:sz w:val="24"/>
              </w:rPr>
            </w:pPr>
            <w:r>
              <w:rPr>
                <w:b/>
                <w:sz w:val="24"/>
              </w:rPr>
              <w:t>40%</w:t>
            </w:r>
          </w:p>
        </w:tc>
        <w:tc>
          <w:tcPr>
            <w:tcW w:w="1530" w:type="dxa"/>
            <w:tcBorders>
              <w:left w:val="single" w:sz="4" w:space="0" w:color="FFFFFF"/>
            </w:tcBorders>
            <w:shd w:val="clear" w:color="auto" w:fill="9DBEE4"/>
          </w:tcPr>
          <w:p>
            <w:pPr>
              <w:pStyle w:val="TableParagraph"/>
              <w:rPr>
                <w:rFonts w:ascii="Times New Roman"/>
                <w:sz w:val="28"/>
              </w:rPr>
            </w:pPr>
          </w:p>
          <w:p>
            <w:pPr>
              <w:pStyle w:val="TableParagraph"/>
              <w:rPr>
                <w:rFonts w:ascii="Times New Roman"/>
                <w:sz w:val="41"/>
              </w:rPr>
            </w:pPr>
          </w:p>
          <w:p>
            <w:pPr>
              <w:pStyle w:val="TableParagraph"/>
              <w:spacing w:before="1"/>
              <w:ind w:left="231" w:right="229"/>
              <w:jc w:val="center"/>
              <w:rPr>
                <w:b/>
                <w:sz w:val="24"/>
              </w:rPr>
            </w:pPr>
            <w:r>
              <w:rPr>
                <w:b/>
                <w:sz w:val="24"/>
              </w:rPr>
              <w:t>76%</w:t>
            </w:r>
          </w:p>
        </w:tc>
      </w:tr>
      <w:tr>
        <w:trPr>
          <w:trHeight w:val="1960" w:hRule="atLeast"/>
        </w:trPr>
        <w:tc>
          <w:tcPr>
            <w:tcW w:w="3166" w:type="dxa"/>
            <w:shd w:val="clear" w:color="auto" w:fill="DDDDDD"/>
          </w:tcPr>
          <w:p>
            <w:pPr>
              <w:pStyle w:val="TableParagraph"/>
              <w:spacing w:line="290" w:lineRule="auto" w:before="27"/>
              <w:ind w:left="107" w:right="319"/>
              <w:rPr>
                <w:sz w:val="20"/>
              </w:rPr>
            </w:pPr>
            <w:r>
              <w:rPr>
                <w:sz w:val="20"/>
              </w:rPr>
              <w:t>3.6} Percentage of citizens [with negative attitude] who report changing their attitude/behavior about women’s rights to inherit property and engage in economic activities after exposure to PRP</w:t>
            </w:r>
          </w:p>
          <w:p>
            <w:pPr>
              <w:pStyle w:val="TableParagraph"/>
              <w:spacing w:line="228" w:lineRule="exact"/>
              <w:ind w:left="107"/>
              <w:rPr>
                <w:sz w:val="20"/>
              </w:rPr>
            </w:pPr>
            <w:r>
              <w:rPr>
                <w:sz w:val="20"/>
              </w:rPr>
              <w:t>and/or E4E CSO communication</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11"/>
              <w:rPr>
                <w:rFonts w:ascii="Times New Roman"/>
                <w:sz w:val="24"/>
              </w:rPr>
            </w:pPr>
          </w:p>
          <w:p>
            <w:pPr>
              <w:pStyle w:val="TableParagraph"/>
              <w:spacing w:line="290" w:lineRule="auto"/>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rFonts w:ascii="Times New Roman"/>
                <w:sz w:val="28"/>
              </w:rPr>
            </w:pPr>
          </w:p>
          <w:p>
            <w:pPr>
              <w:pStyle w:val="TableParagraph"/>
              <w:rPr>
                <w:rFonts w:ascii="Times New Roman"/>
                <w:sz w:val="28"/>
              </w:rPr>
            </w:pPr>
          </w:p>
          <w:p>
            <w:pPr>
              <w:pStyle w:val="TableParagraph"/>
              <w:spacing w:before="167"/>
              <w:ind w:left="321" w:right="314"/>
              <w:jc w:val="center"/>
              <w:rPr>
                <w:i/>
                <w:sz w:val="24"/>
              </w:rPr>
            </w:pPr>
            <w:r>
              <w:rPr>
                <w:i/>
                <w:sz w:val="24"/>
              </w:rPr>
              <w:t>36%</w:t>
            </w:r>
          </w:p>
        </w:tc>
        <w:tc>
          <w:tcPr>
            <w:tcW w:w="1738" w:type="dxa"/>
            <w:tcBorders>
              <w:right w:val="single" w:sz="4" w:space="0" w:color="FFFFFF"/>
            </w:tcBorders>
            <w:shd w:val="clear" w:color="auto" w:fill="9DBEE4"/>
          </w:tcPr>
          <w:p>
            <w:pPr>
              <w:pStyle w:val="TableParagraph"/>
              <w:rPr>
                <w:rFonts w:ascii="Times New Roman"/>
                <w:sz w:val="28"/>
              </w:rPr>
            </w:pPr>
          </w:p>
          <w:p>
            <w:pPr>
              <w:pStyle w:val="TableParagraph"/>
              <w:rPr>
                <w:rFonts w:ascii="Times New Roman"/>
                <w:sz w:val="28"/>
              </w:rPr>
            </w:pPr>
          </w:p>
          <w:p>
            <w:pPr>
              <w:pStyle w:val="TableParagraph"/>
              <w:spacing w:before="167"/>
              <w:ind w:left="232" w:right="226"/>
              <w:jc w:val="center"/>
              <w:rPr>
                <w:b/>
                <w:sz w:val="24"/>
              </w:rPr>
            </w:pPr>
            <w:r>
              <w:rPr>
                <w:b/>
                <w:sz w:val="24"/>
              </w:rPr>
              <w:t>16%</w:t>
            </w:r>
          </w:p>
        </w:tc>
        <w:tc>
          <w:tcPr>
            <w:tcW w:w="1530" w:type="dxa"/>
            <w:tcBorders>
              <w:left w:val="single" w:sz="4" w:space="0" w:color="FFFFFF"/>
            </w:tcBorders>
            <w:shd w:val="clear" w:color="auto" w:fill="9DBEE4"/>
          </w:tcPr>
          <w:p>
            <w:pPr>
              <w:pStyle w:val="TableParagraph"/>
              <w:rPr>
                <w:rFonts w:ascii="Times New Roman"/>
                <w:sz w:val="28"/>
              </w:rPr>
            </w:pPr>
          </w:p>
          <w:p>
            <w:pPr>
              <w:pStyle w:val="TableParagraph"/>
              <w:rPr>
                <w:rFonts w:ascii="Times New Roman"/>
                <w:sz w:val="28"/>
              </w:rPr>
            </w:pPr>
          </w:p>
          <w:p>
            <w:pPr>
              <w:pStyle w:val="TableParagraph"/>
              <w:spacing w:before="167"/>
              <w:ind w:left="231" w:right="229"/>
              <w:jc w:val="center"/>
              <w:rPr>
                <w:b/>
                <w:sz w:val="24"/>
              </w:rPr>
            </w:pPr>
            <w:r>
              <w:rPr>
                <w:b/>
                <w:sz w:val="24"/>
              </w:rPr>
              <w:t>27%</w:t>
            </w:r>
          </w:p>
        </w:tc>
      </w:tr>
    </w:tbl>
    <w:p>
      <w:pPr>
        <w:spacing w:after="0"/>
        <w:jc w:val="center"/>
        <w:rPr>
          <w:sz w:val="24"/>
        </w:rPr>
        <w:sectPr>
          <w:pgSz w:w="16840" w:h="11910" w:orient="landscape"/>
          <w:pgMar w:header="0" w:footer="640" w:top="1100" w:bottom="820" w:left="1340" w:right="1400"/>
        </w:sectPr>
      </w:pPr>
    </w:p>
    <w:p>
      <w:pPr>
        <w:pStyle w:val="BodyText"/>
        <w:rPr>
          <w:rFonts w:ascii="Times New Roman"/>
          <w:sz w:val="29"/>
        </w:rPr>
      </w:pPr>
      <w:r>
        <w:rPr/>
        <w:pict>
          <v:group style="position:absolute;margin-left:689.73999pt;margin-top:160.580002pt;width:.5pt;height:120.2pt;mso-position-horizontal-relative:page;mso-position-vertical-relative:page;z-index:-65296" coordorigin="13795,3212" coordsize="10,2404">
            <v:shape style="position:absolute;left:13794;top:3211;width:10;height:803" type="#_x0000_t75" stroked="false">
              <v:imagedata r:id="rId56" o:title=""/>
            </v:shape>
            <v:shape style="position:absolute;left:13794;top:4013;width:10;height:1602" type="#_x0000_t75" stroked="false">
              <v:imagedata r:id="rId65" o:title=""/>
            </v:shape>
            <w10:wrap type="none"/>
          </v:group>
        </w:pic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6"/>
        <w:gridCol w:w="5831"/>
        <w:gridCol w:w="1621"/>
        <w:gridCol w:w="1738"/>
        <w:gridCol w:w="1530"/>
      </w:tblGrid>
      <w:tr>
        <w:trPr>
          <w:trHeight w:val="1751" w:hRule="atLeast"/>
        </w:trPr>
        <w:tc>
          <w:tcPr>
            <w:tcW w:w="3166" w:type="dxa"/>
            <w:tcBorders>
              <w:right w:val="nil"/>
            </w:tcBorders>
            <w:shd w:val="clear" w:color="auto" w:fill="002A6C"/>
          </w:tcPr>
          <w:p>
            <w:pPr>
              <w:pStyle w:val="TableParagraph"/>
              <w:rPr>
                <w:rFonts w:ascii="Times New Roman"/>
                <w:sz w:val="28"/>
              </w:rPr>
            </w:pPr>
          </w:p>
          <w:p>
            <w:pPr>
              <w:pStyle w:val="TableParagraph"/>
              <w:spacing w:before="6"/>
              <w:rPr>
                <w:rFonts w:ascii="Times New Roman"/>
                <w:sz w:val="33"/>
              </w:rPr>
            </w:pPr>
          </w:p>
          <w:p>
            <w:pPr>
              <w:pStyle w:val="TableParagraph"/>
              <w:ind w:left="305"/>
              <w:rPr>
                <w:b/>
                <w:sz w:val="24"/>
              </w:rPr>
            </w:pPr>
            <w:r>
              <w:rPr>
                <w:b/>
                <w:color w:val="FFFFFF"/>
                <w:sz w:val="24"/>
              </w:rPr>
              <w:t>Performance Indicator</w:t>
            </w:r>
          </w:p>
        </w:tc>
        <w:tc>
          <w:tcPr>
            <w:tcW w:w="5831" w:type="dxa"/>
            <w:tcBorders>
              <w:left w:val="nil"/>
              <w:right w:val="nil"/>
            </w:tcBorders>
            <w:shd w:val="clear" w:color="auto" w:fill="002A6C"/>
          </w:tcPr>
          <w:p>
            <w:pPr>
              <w:pStyle w:val="TableParagraph"/>
              <w:rPr>
                <w:rFonts w:ascii="Times New Roman"/>
                <w:sz w:val="28"/>
              </w:rPr>
            </w:pPr>
          </w:p>
          <w:p>
            <w:pPr>
              <w:pStyle w:val="TableParagraph"/>
              <w:spacing w:before="6"/>
              <w:rPr>
                <w:rFonts w:ascii="Times New Roman"/>
                <w:sz w:val="33"/>
              </w:rPr>
            </w:pPr>
          </w:p>
          <w:p>
            <w:pPr>
              <w:pStyle w:val="TableParagraph"/>
              <w:ind w:left="2419" w:right="2413"/>
              <w:jc w:val="center"/>
              <w:rPr>
                <w:b/>
                <w:sz w:val="24"/>
              </w:rPr>
            </w:pPr>
            <w:r>
              <w:rPr>
                <w:b/>
                <w:color w:val="FFFFFF"/>
                <w:sz w:val="24"/>
              </w:rPr>
              <w:t>DO &amp; IR</w:t>
            </w:r>
          </w:p>
        </w:tc>
        <w:tc>
          <w:tcPr>
            <w:tcW w:w="1621" w:type="dxa"/>
            <w:tcBorders>
              <w:left w:val="nil"/>
              <w:right w:val="nil"/>
            </w:tcBorders>
            <w:shd w:val="clear" w:color="auto" w:fill="C21139"/>
          </w:tcPr>
          <w:p>
            <w:pPr>
              <w:pStyle w:val="TableParagraph"/>
              <w:rPr>
                <w:rFonts w:ascii="Times New Roman"/>
                <w:sz w:val="28"/>
              </w:rPr>
            </w:pPr>
          </w:p>
          <w:p>
            <w:pPr>
              <w:pStyle w:val="TableParagraph"/>
              <w:spacing w:before="247"/>
              <w:ind w:left="326" w:right="321"/>
              <w:jc w:val="center"/>
              <w:rPr>
                <w:b/>
                <w:sz w:val="24"/>
              </w:rPr>
            </w:pPr>
            <w:r>
              <w:rPr>
                <w:b/>
                <w:color w:val="FFFFFF"/>
                <w:sz w:val="24"/>
              </w:rPr>
              <w:t>Baseline</w:t>
            </w:r>
          </w:p>
        </w:tc>
        <w:tc>
          <w:tcPr>
            <w:tcW w:w="1738" w:type="dxa"/>
            <w:tcBorders>
              <w:left w:val="nil"/>
              <w:right w:val="single" w:sz="4" w:space="0" w:color="FFFFFF"/>
            </w:tcBorders>
            <w:shd w:val="clear" w:color="auto" w:fill="C21139"/>
          </w:tcPr>
          <w:p>
            <w:pPr>
              <w:pStyle w:val="TableParagraph"/>
              <w:rPr>
                <w:rFonts w:ascii="Times New Roman"/>
                <w:sz w:val="28"/>
              </w:rPr>
            </w:pPr>
          </w:p>
          <w:p>
            <w:pPr>
              <w:pStyle w:val="TableParagraph"/>
              <w:spacing w:before="206"/>
              <w:ind w:left="237" w:right="226"/>
              <w:jc w:val="center"/>
              <w:rPr>
                <w:b/>
                <w:sz w:val="24"/>
              </w:rPr>
            </w:pPr>
            <w:r>
              <w:rPr>
                <w:b/>
                <w:color w:val="FFFFFF"/>
                <w:sz w:val="24"/>
              </w:rPr>
              <w:t>Target</w:t>
            </w:r>
          </w:p>
          <w:p>
            <w:pPr>
              <w:pStyle w:val="TableParagraph"/>
              <w:spacing w:before="18"/>
              <w:ind w:left="237" w:right="229"/>
              <w:jc w:val="center"/>
              <w:rPr>
                <w:b/>
                <w:sz w:val="12"/>
              </w:rPr>
            </w:pPr>
            <w:r>
              <w:rPr>
                <w:b/>
                <w:color w:val="FFFFFF"/>
                <w:sz w:val="12"/>
              </w:rPr>
              <w:t>(</w:t>
            </w:r>
            <w:r>
              <w:rPr>
                <w:b/>
                <w:i/>
                <w:color w:val="FFFFFF"/>
                <w:sz w:val="12"/>
              </w:rPr>
              <w:t>Life of Project-Target</w:t>
            </w:r>
            <w:r>
              <w:rPr>
                <w:b/>
                <w:color w:val="FFFFFF"/>
                <w:sz w:val="12"/>
              </w:rPr>
              <w:t>)</w:t>
            </w:r>
          </w:p>
        </w:tc>
        <w:tc>
          <w:tcPr>
            <w:tcW w:w="1530" w:type="dxa"/>
            <w:tcBorders>
              <w:left w:val="single" w:sz="4" w:space="0" w:color="FFFFFF"/>
              <w:right w:val="nil"/>
            </w:tcBorders>
            <w:shd w:val="clear" w:color="auto" w:fill="C21139"/>
          </w:tcPr>
          <w:p>
            <w:pPr>
              <w:pStyle w:val="TableParagraph"/>
              <w:rPr>
                <w:rFonts w:ascii="Times New Roman"/>
                <w:sz w:val="28"/>
              </w:rPr>
            </w:pPr>
          </w:p>
          <w:p>
            <w:pPr>
              <w:pStyle w:val="TableParagraph"/>
              <w:spacing w:before="206"/>
              <w:ind w:left="134" w:right="133"/>
              <w:jc w:val="center"/>
              <w:rPr>
                <w:b/>
                <w:sz w:val="24"/>
              </w:rPr>
            </w:pPr>
            <w:r>
              <w:rPr>
                <w:b/>
                <w:color w:val="FFFFFF"/>
                <w:sz w:val="24"/>
              </w:rPr>
              <w:t>Actual</w:t>
            </w:r>
          </w:p>
          <w:p>
            <w:pPr>
              <w:pStyle w:val="TableParagraph"/>
              <w:spacing w:before="18"/>
              <w:ind w:left="134" w:right="134"/>
              <w:jc w:val="center"/>
              <w:rPr>
                <w:b/>
                <w:sz w:val="12"/>
              </w:rPr>
            </w:pPr>
            <w:r>
              <w:rPr>
                <w:b/>
                <w:color w:val="FFFFFF"/>
                <w:sz w:val="12"/>
              </w:rPr>
              <w:t>(</w:t>
            </w:r>
            <w:r>
              <w:rPr>
                <w:b/>
                <w:i/>
                <w:color w:val="FFFFFF"/>
                <w:sz w:val="12"/>
              </w:rPr>
              <w:t>Life of Project-Actual</w:t>
            </w:r>
            <w:r>
              <w:rPr>
                <w:b/>
                <w:color w:val="FFFFFF"/>
                <w:sz w:val="12"/>
              </w:rPr>
              <w:t>)</w:t>
            </w:r>
          </w:p>
        </w:tc>
      </w:tr>
      <w:tr>
        <w:trPr>
          <w:trHeight w:val="801" w:hRule="atLeast"/>
        </w:trPr>
        <w:tc>
          <w:tcPr>
            <w:tcW w:w="3166" w:type="dxa"/>
            <w:shd w:val="clear" w:color="auto" w:fill="DDDDDD"/>
          </w:tcPr>
          <w:p>
            <w:pPr>
              <w:pStyle w:val="TableParagraph"/>
              <w:spacing w:line="290" w:lineRule="auto" w:before="28"/>
              <w:ind w:left="107" w:right="297"/>
              <w:rPr>
                <w:sz w:val="20"/>
              </w:rPr>
            </w:pPr>
            <w:r>
              <w:rPr>
                <w:sz w:val="20"/>
              </w:rPr>
              <w:t>and outreach products, activities and events</w:t>
            </w:r>
          </w:p>
        </w:tc>
        <w:tc>
          <w:tcPr>
            <w:tcW w:w="5831" w:type="dxa"/>
            <w:shd w:val="clear" w:color="auto" w:fill="DDDDDD"/>
          </w:tcPr>
          <w:p>
            <w:pPr>
              <w:pStyle w:val="TableParagraph"/>
              <w:rPr>
                <w:rFonts w:ascii="Times New Roman"/>
                <w:sz w:val="18"/>
              </w:rPr>
            </w:pPr>
          </w:p>
        </w:tc>
        <w:tc>
          <w:tcPr>
            <w:tcW w:w="1621" w:type="dxa"/>
            <w:shd w:val="clear" w:color="auto" w:fill="9DBEE4"/>
          </w:tcPr>
          <w:p>
            <w:pPr>
              <w:pStyle w:val="TableParagraph"/>
              <w:rPr>
                <w:rFonts w:ascii="Times New Roman"/>
                <w:sz w:val="18"/>
              </w:rPr>
            </w:pPr>
          </w:p>
        </w:tc>
        <w:tc>
          <w:tcPr>
            <w:tcW w:w="1738" w:type="dxa"/>
            <w:tcBorders>
              <w:right w:val="single" w:sz="4" w:space="0" w:color="FFFFFF"/>
            </w:tcBorders>
            <w:shd w:val="clear" w:color="auto" w:fill="9DBEE4"/>
          </w:tcPr>
          <w:p>
            <w:pPr>
              <w:pStyle w:val="TableParagraph"/>
              <w:rPr>
                <w:rFonts w:ascii="Times New Roman"/>
                <w:sz w:val="18"/>
              </w:rPr>
            </w:pPr>
          </w:p>
        </w:tc>
        <w:tc>
          <w:tcPr>
            <w:tcW w:w="1530" w:type="dxa"/>
            <w:tcBorders>
              <w:left w:val="single" w:sz="4" w:space="0" w:color="FFFFFF"/>
            </w:tcBorders>
            <w:shd w:val="clear" w:color="auto" w:fill="9DBEE4"/>
          </w:tcPr>
          <w:p>
            <w:pPr>
              <w:pStyle w:val="TableParagraph"/>
              <w:rPr>
                <w:rFonts w:ascii="Times New Roman"/>
                <w:sz w:val="18"/>
              </w:rPr>
            </w:pPr>
          </w:p>
        </w:tc>
      </w:tr>
      <w:tr>
        <w:trPr>
          <w:trHeight w:val="1598" w:hRule="atLeast"/>
        </w:trPr>
        <w:tc>
          <w:tcPr>
            <w:tcW w:w="3166" w:type="dxa"/>
            <w:shd w:val="clear" w:color="auto" w:fill="DDDDDD"/>
          </w:tcPr>
          <w:p>
            <w:pPr>
              <w:pStyle w:val="TableParagraph"/>
              <w:spacing w:line="290" w:lineRule="auto" w:before="27"/>
              <w:ind w:left="107" w:right="153"/>
              <w:rPr>
                <w:sz w:val="20"/>
              </w:rPr>
            </w:pPr>
            <w:r>
              <w:rPr>
                <w:sz w:val="20"/>
              </w:rPr>
              <w:t>3.7} Number [percentage] of women who file inheritance claims in the court</w:t>
            </w:r>
          </w:p>
        </w:tc>
        <w:tc>
          <w:tcPr>
            <w:tcW w:w="5831" w:type="dxa"/>
            <w:shd w:val="clear" w:color="auto" w:fill="DDDDDD"/>
          </w:tcPr>
          <w:p>
            <w:pPr>
              <w:pStyle w:val="TableParagraph"/>
              <w:spacing w:before="27"/>
              <w:ind w:left="107"/>
              <w:rPr>
                <w:i/>
                <w:sz w:val="20"/>
              </w:rPr>
            </w:pPr>
            <w:r>
              <w:rPr>
                <w:i/>
                <w:sz w:val="20"/>
              </w:rPr>
              <w:t>DO: Improved Rule of Law and Governance that meet Citizen’s Needs</w:t>
            </w:r>
          </w:p>
          <w:p>
            <w:pPr>
              <w:pStyle w:val="TableParagraph"/>
              <w:spacing w:before="11"/>
              <w:rPr>
                <w:rFonts w:ascii="Times New Roman"/>
                <w:sz w:val="24"/>
              </w:rPr>
            </w:pPr>
          </w:p>
          <w:p>
            <w:pPr>
              <w:pStyle w:val="TableParagraph"/>
              <w:spacing w:line="290" w:lineRule="auto"/>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rFonts w:ascii="Times New Roman"/>
                <w:sz w:val="28"/>
              </w:rPr>
            </w:pPr>
          </w:p>
          <w:p>
            <w:pPr>
              <w:pStyle w:val="TableParagraph"/>
              <w:spacing w:before="10"/>
              <w:rPr>
                <w:rFonts w:ascii="Times New Roman"/>
                <w:sz w:val="26"/>
              </w:rPr>
            </w:pPr>
          </w:p>
          <w:p>
            <w:pPr>
              <w:pStyle w:val="TableParagraph"/>
              <w:ind w:left="321" w:right="314"/>
              <w:jc w:val="center"/>
              <w:rPr>
                <w:i/>
                <w:sz w:val="24"/>
              </w:rPr>
            </w:pPr>
            <w:r>
              <w:rPr>
                <w:i/>
                <w:sz w:val="24"/>
              </w:rPr>
              <w:t>0.3%</w:t>
            </w:r>
          </w:p>
        </w:tc>
        <w:tc>
          <w:tcPr>
            <w:tcW w:w="1738" w:type="dxa"/>
            <w:tcBorders>
              <w:right w:val="single" w:sz="4" w:space="0" w:color="FFFFFF"/>
            </w:tcBorders>
            <w:shd w:val="clear" w:color="auto" w:fill="9DBEE4"/>
          </w:tcPr>
          <w:p>
            <w:pPr>
              <w:pStyle w:val="TableParagraph"/>
              <w:rPr>
                <w:rFonts w:ascii="Times New Roman"/>
                <w:sz w:val="28"/>
              </w:rPr>
            </w:pPr>
          </w:p>
          <w:p>
            <w:pPr>
              <w:pStyle w:val="TableParagraph"/>
              <w:spacing w:before="10"/>
              <w:rPr>
                <w:rFonts w:ascii="Times New Roman"/>
                <w:sz w:val="26"/>
              </w:rPr>
            </w:pPr>
          </w:p>
          <w:p>
            <w:pPr>
              <w:pStyle w:val="TableParagraph"/>
              <w:ind w:left="232" w:right="226"/>
              <w:jc w:val="center"/>
              <w:rPr>
                <w:b/>
                <w:sz w:val="24"/>
              </w:rPr>
            </w:pPr>
            <w:r>
              <w:rPr>
                <w:b/>
                <w:sz w:val="24"/>
              </w:rPr>
              <w:t>30%</w:t>
            </w:r>
          </w:p>
        </w:tc>
        <w:tc>
          <w:tcPr>
            <w:tcW w:w="1530" w:type="dxa"/>
            <w:tcBorders>
              <w:left w:val="single" w:sz="4" w:space="0" w:color="FFFFFF"/>
            </w:tcBorders>
            <w:shd w:val="clear" w:color="auto" w:fill="9DBEE4"/>
          </w:tcPr>
          <w:p>
            <w:pPr>
              <w:pStyle w:val="TableParagraph"/>
              <w:rPr>
                <w:rFonts w:ascii="Times New Roman"/>
                <w:sz w:val="28"/>
              </w:rPr>
            </w:pPr>
          </w:p>
          <w:p>
            <w:pPr>
              <w:pStyle w:val="TableParagraph"/>
              <w:spacing w:before="10"/>
              <w:rPr>
                <w:rFonts w:ascii="Times New Roman"/>
                <w:sz w:val="26"/>
              </w:rPr>
            </w:pPr>
          </w:p>
          <w:p>
            <w:pPr>
              <w:pStyle w:val="TableParagraph"/>
              <w:ind w:left="234" w:right="229"/>
              <w:jc w:val="center"/>
              <w:rPr>
                <w:b/>
                <w:sz w:val="24"/>
              </w:rPr>
            </w:pPr>
            <w:r>
              <w:rPr>
                <w:b/>
                <w:sz w:val="24"/>
              </w:rPr>
              <w:t>3%</w:t>
            </w:r>
          </w:p>
        </w:tc>
      </w:tr>
      <w:tr>
        <w:trPr>
          <w:trHeight w:val="1600" w:hRule="atLeast"/>
        </w:trPr>
        <w:tc>
          <w:tcPr>
            <w:tcW w:w="3166" w:type="dxa"/>
            <w:shd w:val="clear" w:color="auto" w:fill="DDDDDD"/>
          </w:tcPr>
          <w:p>
            <w:pPr>
              <w:pStyle w:val="TableParagraph"/>
              <w:spacing w:line="288" w:lineRule="auto" w:before="30"/>
              <w:ind w:left="107" w:right="681"/>
              <w:rPr>
                <w:sz w:val="20"/>
              </w:rPr>
            </w:pPr>
            <w:r>
              <w:rPr>
                <w:sz w:val="20"/>
              </w:rPr>
              <w:t>3.8} Number [percentage] of women inheriting property</w:t>
            </w:r>
          </w:p>
        </w:tc>
        <w:tc>
          <w:tcPr>
            <w:tcW w:w="5831" w:type="dxa"/>
            <w:shd w:val="clear" w:color="auto" w:fill="DDDDDD"/>
          </w:tcPr>
          <w:p>
            <w:pPr>
              <w:pStyle w:val="TableParagraph"/>
              <w:spacing w:before="30"/>
              <w:ind w:left="107"/>
              <w:rPr>
                <w:i/>
                <w:sz w:val="20"/>
              </w:rPr>
            </w:pPr>
            <w:r>
              <w:rPr>
                <w:i/>
                <w:sz w:val="20"/>
              </w:rPr>
              <w:t>DO: Improved Rule of Law and Governance that meet Citizen’s Needs</w:t>
            </w:r>
          </w:p>
          <w:p>
            <w:pPr>
              <w:pStyle w:val="TableParagraph"/>
              <w:spacing w:before="10"/>
              <w:rPr>
                <w:rFonts w:ascii="Times New Roman"/>
                <w:sz w:val="24"/>
              </w:rPr>
            </w:pPr>
          </w:p>
          <w:p>
            <w:pPr>
              <w:pStyle w:val="TableParagraph"/>
              <w:spacing w:line="290" w:lineRule="auto"/>
              <w:ind w:left="107" w:right="107"/>
              <w:rPr>
                <w:i/>
                <w:sz w:val="20"/>
              </w:rPr>
            </w:pPr>
            <w:r>
              <w:rPr>
                <w:i/>
                <w:sz w:val="20"/>
              </w:rPr>
              <w:t>IR: More Efficient, Transparent, Independent &amp; Accountable Justice Sector; </w:t>
            </w:r>
            <w:r>
              <w:rPr>
                <w:i/>
                <w:sz w:val="20"/>
              </w:rPr>
              <w:t>Civil Society Strengthened to Increasingly Engage Constructively with Government</w:t>
            </w:r>
          </w:p>
        </w:tc>
        <w:tc>
          <w:tcPr>
            <w:tcW w:w="1621" w:type="dxa"/>
            <w:shd w:val="clear" w:color="auto" w:fill="9DBEE4"/>
          </w:tcPr>
          <w:p>
            <w:pPr>
              <w:pStyle w:val="TableParagraph"/>
              <w:rPr>
                <w:rFonts w:ascii="Times New Roman"/>
                <w:sz w:val="28"/>
              </w:rPr>
            </w:pPr>
          </w:p>
          <w:p>
            <w:pPr>
              <w:pStyle w:val="TableParagraph"/>
              <w:spacing w:before="1"/>
              <w:rPr>
                <w:rFonts w:ascii="Times New Roman"/>
                <w:sz w:val="27"/>
              </w:rPr>
            </w:pPr>
          </w:p>
          <w:p>
            <w:pPr>
              <w:pStyle w:val="TableParagraph"/>
              <w:ind w:left="321" w:right="314"/>
              <w:jc w:val="center"/>
              <w:rPr>
                <w:i/>
                <w:sz w:val="24"/>
              </w:rPr>
            </w:pPr>
            <w:r>
              <w:rPr>
                <w:i/>
                <w:sz w:val="24"/>
              </w:rPr>
              <w:t>3.8%</w:t>
            </w:r>
          </w:p>
        </w:tc>
        <w:tc>
          <w:tcPr>
            <w:tcW w:w="1738" w:type="dxa"/>
            <w:tcBorders>
              <w:right w:val="single" w:sz="4" w:space="0" w:color="FFFFFF"/>
            </w:tcBorders>
            <w:shd w:val="clear" w:color="auto" w:fill="9DBEE4"/>
          </w:tcPr>
          <w:p>
            <w:pPr>
              <w:pStyle w:val="TableParagraph"/>
              <w:rPr>
                <w:rFonts w:ascii="Times New Roman"/>
                <w:sz w:val="28"/>
              </w:rPr>
            </w:pPr>
          </w:p>
          <w:p>
            <w:pPr>
              <w:pStyle w:val="TableParagraph"/>
              <w:spacing w:before="1"/>
              <w:rPr>
                <w:rFonts w:ascii="Times New Roman"/>
                <w:sz w:val="27"/>
              </w:rPr>
            </w:pPr>
          </w:p>
          <w:p>
            <w:pPr>
              <w:pStyle w:val="TableParagraph"/>
              <w:ind w:left="232" w:right="229"/>
              <w:jc w:val="center"/>
              <w:rPr>
                <w:b/>
                <w:sz w:val="24"/>
              </w:rPr>
            </w:pPr>
            <w:r>
              <w:rPr>
                <w:b/>
                <w:sz w:val="24"/>
              </w:rPr>
              <w:t>33.8%</w:t>
            </w:r>
          </w:p>
        </w:tc>
        <w:tc>
          <w:tcPr>
            <w:tcW w:w="1530" w:type="dxa"/>
            <w:tcBorders>
              <w:left w:val="single" w:sz="4" w:space="0" w:color="FFFFFF"/>
            </w:tcBorders>
            <w:shd w:val="clear" w:color="auto" w:fill="9DBEE4"/>
          </w:tcPr>
          <w:p>
            <w:pPr>
              <w:pStyle w:val="TableParagraph"/>
              <w:rPr>
                <w:rFonts w:ascii="Times New Roman"/>
                <w:sz w:val="28"/>
              </w:rPr>
            </w:pPr>
          </w:p>
          <w:p>
            <w:pPr>
              <w:pStyle w:val="TableParagraph"/>
              <w:spacing w:before="1"/>
              <w:rPr>
                <w:rFonts w:ascii="Times New Roman"/>
                <w:sz w:val="27"/>
              </w:rPr>
            </w:pPr>
          </w:p>
          <w:p>
            <w:pPr>
              <w:pStyle w:val="TableParagraph"/>
              <w:ind w:left="512"/>
              <w:rPr>
                <w:b/>
                <w:sz w:val="24"/>
              </w:rPr>
            </w:pPr>
            <w:r>
              <w:rPr>
                <w:b/>
                <w:sz w:val="24"/>
              </w:rPr>
              <w:t>7.5%</w:t>
            </w:r>
          </w:p>
        </w:tc>
      </w:tr>
      <w:tr>
        <w:trPr>
          <w:trHeight w:val="278" w:hRule="atLeast"/>
        </w:trPr>
        <w:tc>
          <w:tcPr>
            <w:tcW w:w="13886" w:type="dxa"/>
            <w:gridSpan w:val="5"/>
          </w:tcPr>
          <w:p>
            <w:pPr>
              <w:pStyle w:val="TableParagraph"/>
              <w:spacing w:line="250" w:lineRule="exact"/>
              <w:ind w:left="107"/>
              <w:rPr>
                <w:b/>
                <w:sz w:val="24"/>
              </w:rPr>
            </w:pPr>
            <w:r>
              <w:rPr>
                <w:b/>
                <w:sz w:val="24"/>
              </w:rPr>
              <w:t>OBJECTIVE 4: IMPROVED ACCESS TO INFORMATION AND UNDERSTANDING OF PROPERTY RIGHTS</w:t>
            </w:r>
          </w:p>
        </w:tc>
      </w:tr>
      <w:tr>
        <w:trPr>
          <w:trHeight w:val="2201" w:hRule="atLeast"/>
        </w:trPr>
        <w:tc>
          <w:tcPr>
            <w:tcW w:w="3166" w:type="dxa"/>
            <w:shd w:val="clear" w:color="auto" w:fill="DDDDDD"/>
          </w:tcPr>
          <w:p>
            <w:pPr>
              <w:pStyle w:val="TableParagraph"/>
              <w:spacing w:line="290" w:lineRule="auto" w:before="28"/>
              <w:ind w:left="107" w:right="69"/>
              <w:rPr>
                <w:sz w:val="20"/>
              </w:rPr>
            </w:pPr>
            <w:r>
              <w:rPr>
                <w:sz w:val="20"/>
              </w:rPr>
              <w:t>4.1} [Number of] Land administration offices established or upgraded: The number of land administration and service offices or other related facilities that the project physically establishes or upgrades.</w:t>
            </w:r>
          </w:p>
        </w:tc>
        <w:tc>
          <w:tcPr>
            <w:tcW w:w="5831" w:type="dxa"/>
            <w:shd w:val="clear" w:color="auto" w:fill="DDDDDD"/>
          </w:tcPr>
          <w:p>
            <w:pPr>
              <w:pStyle w:val="TableParagraph"/>
              <w:spacing w:before="28"/>
              <w:ind w:left="107"/>
              <w:rPr>
                <w:i/>
                <w:sz w:val="20"/>
              </w:rPr>
            </w:pPr>
            <w:r>
              <w:rPr>
                <w:i/>
                <w:sz w:val="20"/>
              </w:rPr>
              <w:t>DO: Increase Investment and Private Sector Employment</w:t>
            </w:r>
          </w:p>
          <w:p>
            <w:pPr>
              <w:pStyle w:val="TableParagraph"/>
              <w:spacing w:before="1"/>
              <w:rPr>
                <w:rFonts w:ascii="Times New Roman"/>
                <w:sz w:val="25"/>
              </w:rPr>
            </w:pPr>
          </w:p>
          <w:p>
            <w:pPr>
              <w:pStyle w:val="TableParagraph"/>
              <w:ind w:left="107"/>
              <w:rPr>
                <w:i/>
                <w:sz w:val="20"/>
              </w:rPr>
            </w:pPr>
            <w:r>
              <w:rPr>
                <w:i/>
                <w:sz w:val="20"/>
              </w:rPr>
              <w:t>IR: Improved Economic Governance &amp; Business Environment</w:t>
            </w:r>
          </w:p>
        </w:tc>
        <w:tc>
          <w:tcPr>
            <w:tcW w:w="1621" w:type="dxa"/>
            <w:shd w:val="clear" w:color="auto" w:fill="9DBEE4"/>
          </w:tcPr>
          <w:p>
            <w:pPr>
              <w:pStyle w:val="TableParagraph"/>
              <w:rPr>
                <w:rFonts w:ascii="Times New Roman"/>
                <w:sz w:val="28"/>
              </w:rPr>
            </w:pPr>
          </w:p>
          <w:p>
            <w:pPr>
              <w:pStyle w:val="TableParagraph"/>
              <w:rPr>
                <w:rFonts w:ascii="Times New Roman"/>
                <w:sz w:val="28"/>
              </w:rPr>
            </w:pPr>
          </w:p>
          <w:p>
            <w:pPr>
              <w:pStyle w:val="TableParagraph"/>
              <w:spacing w:before="2"/>
              <w:rPr>
                <w:rFonts w:ascii="Times New Roman"/>
                <w:sz w:val="25"/>
              </w:rPr>
            </w:pPr>
          </w:p>
          <w:p>
            <w:pPr>
              <w:pStyle w:val="TableParagraph"/>
              <w:ind w:left="5"/>
              <w:jc w:val="center"/>
              <w:rPr>
                <w:i/>
                <w:sz w:val="24"/>
              </w:rPr>
            </w:pPr>
            <w:r>
              <w:rPr>
                <w:i/>
                <w:sz w:val="24"/>
              </w:rPr>
              <w:t>0</w:t>
            </w:r>
          </w:p>
        </w:tc>
        <w:tc>
          <w:tcPr>
            <w:tcW w:w="1738" w:type="dxa"/>
            <w:tcBorders>
              <w:right w:val="single" w:sz="4" w:space="0" w:color="FFFFFF"/>
            </w:tcBorders>
            <w:shd w:val="clear" w:color="auto" w:fill="9DBEE4"/>
          </w:tcPr>
          <w:p>
            <w:pPr>
              <w:pStyle w:val="TableParagraph"/>
              <w:rPr>
                <w:rFonts w:ascii="Times New Roman"/>
                <w:sz w:val="28"/>
              </w:rPr>
            </w:pPr>
          </w:p>
          <w:p>
            <w:pPr>
              <w:pStyle w:val="TableParagraph"/>
              <w:rPr>
                <w:rFonts w:ascii="Times New Roman"/>
                <w:sz w:val="28"/>
              </w:rPr>
            </w:pPr>
          </w:p>
          <w:p>
            <w:pPr>
              <w:pStyle w:val="TableParagraph"/>
              <w:spacing w:before="2"/>
              <w:rPr>
                <w:rFonts w:ascii="Times New Roman"/>
                <w:sz w:val="25"/>
              </w:rPr>
            </w:pPr>
          </w:p>
          <w:p>
            <w:pPr>
              <w:pStyle w:val="TableParagraph"/>
              <w:ind w:left="5"/>
              <w:jc w:val="center"/>
              <w:rPr>
                <w:b/>
                <w:sz w:val="24"/>
              </w:rPr>
            </w:pPr>
            <w:r>
              <w:rPr>
                <w:b/>
                <w:sz w:val="24"/>
              </w:rPr>
              <w:t>4</w:t>
            </w:r>
          </w:p>
        </w:tc>
        <w:tc>
          <w:tcPr>
            <w:tcW w:w="1530" w:type="dxa"/>
            <w:tcBorders>
              <w:left w:val="single" w:sz="4" w:space="0" w:color="FFFFFF"/>
            </w:tcBorders>
            <w:shd w:val="clear" w:color="auto" w:fill="9DBEE4"/>
          </w:tcPr>
          <w:p>
            <w:pPr>
              <w:pStyle w:val="TableParagraph"/>
              <w:rPr>
                <w:rFonts w:ascii="Times New Roman"/>
                <w:sz w:val="28"/>
              </w:rPr>
            </w:pPr>
          </w:p>
          <w:p>
            <w:pPr>
              <w:pStyle w:val="TableParagraph"/>
              <w:rPr>
                <w:rFonts w:ascii="Times New Roman"/>
                <w:sz w:val="28"/>
              </w:rPr>
            </w:pPr>
          </w:p>
          <w:p>
            <w:pPr>
              <w:pStyle w:val="TableParagraph"/>
              <w:spacing w:before="6"/>
              <w:rPr>
                <w:rFonts w:ascii="Times New Roman"/>
                <w:sz w:val="24"/>
              </w:rPr>
            </w:pPr>
          </w:p>
          <w:p>
            <w:pPr>
              <w:pStyle w:val="TableParagraph"/>
              <w:ind w:left="106"/>
              <w:rPr>
                <w:b/>
                <w:sz w:val="14"/>
              </w:rPr>
            </w:pPr>
            <w:r>
              <w:rPr>
                <w:b/>
                <w:position w:val="-9"/>
                <w:sz w:val="24"/>
              </w:rPr>
              <w:t>5</w:t>
            </w:r>
            <w:r>
              <w:rPr>
                <w:b/>
                <w:sz w:val="14"/>
              </w:rPr>
              <w:t>3</w:t>
            </w:r>
          </w:p>
        </w:tc>
      </w:tr>
    </w:tbl>
    <w:p>
      <w:pPr>
        <w:pStyle w:val="BodyText"/>
        <w:spacing w:before="10"/>
        <w:rPr>
          <w:rFonts w:ascii="Times New Roman"/>
          <w:sz w:val="16"/>
        </w:rPr>
      </w:pPr>
      <w:r>
        <w:rPr/>
        <w:pict>
          <v:line style="position:absolute;mso-position-horizontal-relative:page;mso-position-vertical-relative:paragraph;z-index:-208;mso-wrap-distance-left:0;mso-wrap-distance-right:0" from="72pt,11.959995pt" to="216.02pt,11.959995pt" stroked="true" strokeweight=".600010pt" strokecolor="#6c6362">
            <v:stroke dashstyle="solid"/>
            <w10:wrap type="topAndBottom"/>
          </v:line>
        </w:pict>
      </w:r>
    </w:p>
    <w:p>
      <w:pPr>
        <w:tabs>
          <w:tab w:pos="388" w:val="left" w:leader="none"/>
        </w:tabs>
        <w:spacing w:before="147"/>
        <w:ind w:left="100" w:right="0" w:firstLine="0"/>
        <w:jc w:val="left"/>
        <w:rPr>
          <w:sz w:val="16"/>
        </w:rPr>
      </w:pPr>
      <w:r>
        <w:rPr>
          <w:color w:val="6C6362"/>
          <w:position w:val="6"/>
          <w:sz w:val="10"/>
        </w:rPr>
        <w:t>3</w:t>
        <w:tab/>
      </w:r>
      <w:r>
        <w:rPr>
          <w:color w:val="6C6362"/>
          <w:sz w:val="16"/>
        </w:rPr>
        <w:t>PRP</w:t>
      </w:r>
      <w:r>
        <w:rPr>
          <w:color w:val="6C6362"/>
          <w:spacing w:val="-1"/>
          <w:sz w:val="16"/>
        </w:rPr>
        <w:t> </w:t>
      </w:r>
      <w:r>
        <w:rPr>
          <w:color w:val="6C6362"/>
          <w:sz w:val="16"/>
        </w:rPr>
        <w:t>has</w:t>
      </w:r>
      <w:r>
        <w:rPr>
          <w:color w:val="6C6362"/>
          <w:spacing w:val="-2"/>
          <w:sz w:val="16"/>
        </w:rPr>
        <w:t> </w:t>
      </w:r>
      <w:r>
        <w:rPr>
          <w:color w:val="6C6362"/>
          <w:sz w:val="16"/>
        </w:rPr>
        <w:t>refurbished</w:t>
      </w:r>
      <w:r>
        <w:rPr>
          <w:color w:val="6C6362"/>
          <w:spacing w:val="-1"/>
          <w:sz w:val="16"/>
        </w:rPr>
        <w:t> </w:t>
      </w:r>
      <w:r>
        <w:rPr>
          <w:color w:val="6C6362"/>
          <w:sz w:val="16"/>
        </w:rPr>
        <w:t>the</w:t>
      </w:r>
      <w:r>
        <w:rPr>
          <w:color w:val="6C6362"/>
          <w:spacing w:val="-3"/>
          <w:sz w:val="16"/>
        </w:rPr>
        <w:t> </w:t>
      </w:r>
      <w:r>
        <w:rPr>
          <w:color w:val="6C6362"/>
          <w:sz w:val="16"/>
        </w:rPr>
        <w:t>archives</w:t>
      </w:r>
      <w:r>
        <w:rPr>
          <w:color w:val="6C6362"/>
          <w:spacing w:val="-3"/>
          <w:sz w:val="16"/>
        </w:rPr>
        <w:t> </w:t>
      </w:r>
      <w:r>
        <w:rPr>
          <w:color w:val="6C6362"/>
          <w:sz w:val="16"/>
        </w:rPr>
        <w:t>facility</w:t>
      </w:r>
      <w:r>
        <w:rPr>
          <w:color w:val="6C6362"/>
          <w:spacing w:val="1"/>
          <w:sz w:val="16"/>
        </w:rPr>
        <w:t> </w:t>
      </w:r>
      <w:r>
        <w:rPr>
          <w:color w:val="6C6362"/>
          <w:sz w:val="16"/>
        </w:rPr>
        <w:t>in</w:t>
      </w:r>
      <w:r>
        <w:rPr>
          <w:color w:val="6C6362"/>
          <w:spacing w:val="-1"/>
          <w:sz w:val="16"/>
        </w:rPr>
        <w:t> </w:t>
      </w:r>
      <w:r>
        <w:rPr>
          <w:color w:val="6C6362"/>
          <w:sz w:val="16"/>
        </w:rPr>
        <w:t>Viti/Vitina,</w:t>
      </w:r>
      <w:r>
        <w:rPr>
          <w:color w:val="6C6362"/>
          <w:spacing w:val="-2"/>
          <w:sz w:val="16"/>
        </w:rPr>
        <w:t> </w:t>
      </w:r>
      <w:r>
        <w:rPr>
          <w:color w:val="6C6362"/>
          <w:sz w:val="16"/>
        </w:rPr>
        <w:t>and</w:t>
      </w:r>
      <w:r>
        <w:rPr>
          <w:color w:val="6C6362"/>
          <w:spacing w:val="-3"/>
          <w:sz w:val="16"/>
        </w:rPr>
        <w:t> </w:t>
      </w:r>
      <w:r>
        <w:rPr>
          <w:color w:val="6C6362"/>
          <w:sz w:val="16"/>
        </w:rPr>
        <w:t>is</w:t>
      </w:r>
      <w:r>
        <w:rPr>
          <w:color w:val="6C6362"/>
          <w:spacing w:val="-2"/>
          <w:sz w:val="16"/>
        </w:rPr>
        <w:t> </w:t>
      </w:r>
      <w:r>
        <w:rPr>
          <w:color w:val="6C6362"/>
          <w:sz w:val="16"/>
        </w:rPr>
        <w:t>establishing</w:t>
      </w:r>
      <w:r>
        <w:rPr>
          <w:color w:val="6C6362"/>
          <w:spacing w:val="-2"/>
          <w:sz w:val="16"/>
        </w:rPr>
        <w:t> </w:t>
      </w:r>
      <w:r>
        <w:rPr>
          <w:color w:val="6C6362"/>
          <w:sz w:val="16"/>
        </w:rPr>
        <w:t>or</w:t>
      </w:r>
      <w:r>
        <w:rPr>
          <w:color w:val="6C6362"/>
          <w:spacing w:val="-2"/>
          <w:sz w:val="16"/>
        </w:rPr>
        <w:t> </w:t>
      </w:r>
      <w:r>
        <w:rPr>
          <w:color w:val="6C6362"/>
          <w:sz w:val="16"/>
        </w:rPr>
        <w:t>upgrading</w:t>
      </w:r>
      <w:r>
        <w:rPr>
          <w:color w:val="6C6362"/>
          <w:spacing w:val="1"/>
          <w:sz w:val="16"/>
        </w:rPr>
        <w:t> </w:t>
      </w:r>
      <w:r>
        <w:rPr>
          <w:color w:val="6C6362"/>
          <w:sz w:val="16"/>
        </w:rPr>
        <w:t>e-kiosks</w:t>
      </w:r>
      <w:r>
        <w:rPr>
          <w:color w:val="6C6362"/>
          <w:spacing w:val="-3"/>
          <w:sz w:val="16"/>
        </w:rPr>
        <w:t> </w:t>
      </w:r>
      <w:r>
        <w:rPr>
          <w:color w:val="6C6362"/>
          <w:sz w:val="16"/>
        </w:rPr>
        <w:t>with</w:t>
      </w:r>
      <w:r>
        <w:rPr>
          <w:color w:val="6C6362"/>
          <w:spacing w:val="-2"/>
          <w:sz w:val="16"/>
        </w:rPr>
        <w:t> </w:t>
      </w:r>
      <w:r>
        <w:rPr>
          <w:color w:val="6C6362"/>
          <w:sz w:val="16"/>
        </w:rPr>
        <w:t>MCO</w:t>
      </w:r>
      <w:r>
        <w:rPr>
          <w:color w:val="6C6362"/>
          <w:spacing w:val="-3"/>
          <w:sz w:val="16"/>
        </w:rPr>
        <w:t> </w:t>
      </w:r>
      <w:r>
        <w:rPr>
          <w:color w:val="6C6362"/>
          <w:sz w:val="16"/>
        </w:rPr>
        <w:t>functions</w:t>
      </w:r>
      <w:r>
        <w:rPr>
          <w:color w:val="6C6362"/>
          <w:spacing w:val="-2"/>
          <w:sz w:val="16"/>
        </w:rPr>
        <w:t> </w:t>
      </w:r>
      <w:r>
        <w:rPr>
          <w:color w:val="6C6362"/>
          <w:sz w:val="16"/>
        </w:rPr>
        <w:t>in</w:t>
      </w:r>
      <w:r>
        <w:rPr>
          <w:color w:val="6C6362"/>
          <w:spacing w:val="-2"/>
          <w:sz w:val="16"/>
        </w:rPr>
        <w:t> </w:t>
      </w:r>
      <w:r>
        <w:rPr>
          <w:color w:val="6C6362"/>
          <w:sz w:val="16"/>
        </w:rPr>
        <w:t>Gjakovë,</w:t>
      </w:r>
      <w:r>
        <w:rPr>
          <w:color w:val="6C6362"/>
          <w:spacing w:val="-1"/>
          <w:sz w:val="16"/>
        </w:rPr>
        <w:t> </w:t>
      </w:r>
      <w:r>
        <w:rPr>
          <w:color w:val="6C6362"/>
          <w:sz w:val="16"/>
        </w:rPr>
        <w:t>Vushtrri, Peje</w:t>
      </w:r>
      <w:r>
        <w:rPr>
          <w:color w:val="6C6362"/>
          <w:spacing w:val="-3"/>
          <w:sz w:val="16"/>
        </w:rPr>
        <w:t> </w:t>
      </w:r>
      <w:r>
        <w:rPr>
          <w:color w:val="6C6362"/>
          <w:sz w:val="16"/>
        </w:rPr>
        <w:t>and</w:t>
      </w:r>
      <w:r>
        <w:rPr>
          <w:color w:val="6C6362"/>
          <w:spacing w:val="-3"/>
          <w:sz w:val="16"/>
        </w:rPr>
        <w:t> </w:t>
      </w:r>
      <w:r>
        <w:rPr>
          <w:color w:val="6C6362"/>
          <w:sz w:val="16"/>
        </w:rPr>
        <w:t>Pristine</w:t>
      </w:r>
      <w:r>
        <w:rPr>
          <w:color w:val="6C6362"/>
          <w:spacing w:val="-3"/>
          <w:sz w:val="16"/>
        </w:rPr>
        <w:t> </w:t>
      </w:r>
      <w:r>
        <w:rPr>
          <w:color w:val="6C6362"/>
          <w:sz w:val="16"/>
        </w:rPr>
        <w:t>(in</w:t>
      </w:r>
      <w:r>
        <w:rPr>
          <w:color w:val="6C6362"/>
          <w:spacing w:val="-2"/>
          <w:sz w:val="16"/>
        </w:rPr>
        <w:t> </w:t>
      </w:r>
      <w:r>
        <w:rPr>
          <w:color w:val="6C6362"/>
          <w:sz w:val="16"/>
        </w:rPr>
        <w:t>addition</w:t>
      </w:r>
      <w:r>
        <w:rPr>
          <w:color w:val="6C6362"/>
          <w:spacing w:val="2"/>
          <w:sz w:val="16"/>
        </w:rPr>
        <w:t> </w:t>
      </w:r>
      <w:r>
        <w:rPr>
          <w:color w:val="6C6362"/>
          <w:sz w:val="16"/>
        </w:rPr>
        <w:t>to</w:t>
      </w:r>
      <w:r>
        <w:rPr>
          <w:color w:val="6C6362"/>
          <w:spacing w:val="-3"/>
          <w:sz w:val="16"/>
        </w:rPr>
        <w:t> </w:t>
      </w:r>
      <w:r>
        <w:rPr>
          <w:color w:val="6C6362"/>
          <w:sz w:val="16"/>
        </w:rPr>
        <w:t>Viti/Vitina).</w:t>
      </w:r>
    </w:p>
    <w:p>
      <w:pPr>
        <w:spacing w:after="0"/>
        <w:jc w:val="left"/>
        <w:rPr>
          <w:sz w:val="16"/>
        </w:rPr>
        <w:sectPr>
          <w:pgSz w:w="16840" w:h="11910" w:orient="landscape"/>
          <w:pgMar w:header="0" w:footer="640" w:top="1100" w:bottom="820" w:left="1340" w:right="1400"/>
        </w:sectPr>
      </w:pPr>
    </w:p>
    <w:p>
      <w:pPr>
        <w:pStyle w:val="BodyText"/>
        <w:rPr>
          <w:rFonts w:ascii="Times New Roman"/>
          <w:sz w:val="29"/>
        </w:rPr>
      </w:pPr>
      <w:r>
        <w:rPr/>
        <w:pict>
          <v:group style="position:absolute;margin-left:689.73999pt;margin-top:160.580002pt;width:.5pt;height:284.150pt;mso-position-horizontal-relative:page;mso-position-vertical-relative:page;z-index:-65272" coordorigin="13795,3212" coordsize="10,5683">
            <v:shape style="position:absolute;left:13794;top:3211;width:10;height:1362" type="#_x0000_t75" stroked="false">
              <v:imagedata r:id="rId66" o:title=""/>
            </v:shape>
            <v:shape style="position:absolute;left:13794;top:4573;width:10;height:2142" type="#_x0000_t75" stroked="false">
              <v:imagedata r:id="rId67" o:title=""/>
            </v:shape>
            <v:shape style="position:absolute;left:13794;top:6714;width:10;height:1091" type="#_x0000_t75" stroked="false">
              <v:imagedata r:id="rId68" o:title=""/>
            </v:shape>
            <v:shape style="position:absolute;left:13794;top:7804;width:10;height:1090" type="#_x0000_t75" stroked="false">
              <v:imagedata r:id="rId57" o:title=""/>
            </v:shape>
            <w10:wrap type="none"/>
          </v:group>
        </w:pic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6"/>
        <w:gridCol w:w="5831"/>
        <w:gridCol w:w="1621"/>
        <w:gridCol w:w="1738"/>
        <w:gridCol w:w="1530"/>
      </w:tblGrid>
      <w:tr>
        <w:trPr>
          <w:trHeight w:val="1751" w:hRule="atLeast"/>
        </w:trPr>
        <w:tc>
          <w:tcPr>
            <w:tcW w:w="3166" w:type="dxa"/>
            <w:tcBorders>
              <w:right w:val="nil"/>
            </w:tcBorders>
            <w:shd w:val="clear" w:color="auto" w:fill="002A6C"/>
          </w:tcPr>
          <w:p>
            <w:pPr>
              <w:pStyle w:val="TableParagraph"/>
              <w:rPr>
                <w:rFonts w:ascii="Times New Roman"/>
                <w:sz w:val="28"/>
              </w:rPr>
            </w:pPr>
          </w:p>
          <w:p>
            <w:pPr>
              <w:pStyle w:val="TableParagraph"/>
              <w:spacing w:before="6"/>
              <w:rPr>
                <w:rFonts w:ascii="Times New Roman"/>
                <w:sz w:val="33"/>
              </w:rPr>
            </w:pPr>
          </w:p>
          <w:p>
            <w:pPr>
              <w:pStyle w:val="TableParagraph"/>
              <w:ind w:left="305"/>
              <w:rPr>
                <w:b/>
                <w:sz w:val="24"/>
              </w:rPr>
            </w:pPr>
            <w:r>
              <w:rPr>
                <w:b/>
                <w:color w:val="FFFFFF"/>
                <w:sz w:val="24"/>
              </w:rPr>
              <w:t>Performance Indicator</w:t>
            </w:r>
          </w:p>
        </w:tc>
        <w:tc>
          <w:tcPr>
            <w:tcW w:w="5831" w:type="dxa"/>
            <w:tcBorders>
              <w:left w:val="nil"/>
              <w:right w:val="nil"/>
            </w:tcBorders>
            <w:shd w:val="clear" w:color="auto" w:fill="002A6C"/>
          </w:tcPr>
          <w:p>
            <w:pPr>
              <w:pStyle w:val="TableParagraph"/>
              <w:rPr>
                <w:rFonts w:ascii="Times New Roman"/>
                <w:sz w:val="28"/>
              </w:rPr>
            </w:pPr>
          </w:p>
          <w:p>
            <w:pPr>
              <w:pStyle w:val="TableParagraph"/>
              <w:spacing w:before="6"/>
              <w:rPr>
                <w:rFonts w:ascii="Times New Roman"/>
                <w:sz w:val="33"/>
              </w:rPr>
            </w:pPr>
          </w:p>
          <w:p>
            <w:pPr>
              <w:pStyle w:val="TableParagraph"/>
              <w:ind w:left="2419" w:right="2413"/>
              <w:jc w:val="center"/>
              <w:rPr>
                <w:b/>
                <w:sz w:val="24"/>
              </w:rPr>
            </w:pPr>
            <w:r>
              <w:rPr>
                <w:b/>
                <w:color w:val="FFFFFF"/>
                <w:sz w:val="24"/>
              </w:rPr>
              <w:t>DO &amp; IR</w:t>
            </w:r>
          </w:p>
        </w:tc>
        <w:tc>
          <w:tcPr>
            <w:tcW w:w="1621" w:type="dxa"/>
            <w:tcBorders>
              <w:left w:val="nil"/>
              <w:right w:val="nil"/>
            </w:tcBorders>
            <w:shd w:val="clear" w:color="auto" w:fill="C21139"/>
          </w:tcPr>
          <w:p>
            <w:pPr>
              <w:pStyle w:val="TableParagraph"/>
              <w:rPr>
                <w:rFonts w:ascii="Times New Roman"/>
                <w:sz w:val="28"/>
              </w:rPr>
            </w:pPr>
          </w:p>
          <w:p>
            <w:pPr>
              <w:pStyle w:val="TableParagraph"/>
              <w:spacing w:before="247"/>
              <w:ind w:left="326" w:right="321"/>
              <w:jc w:val="center"/>
              <w:rPr>
                <w:b/>
                <w:sz w:val="24"/>
              </w:rPr>
            </w:pPr>
            <w:r>
              <w:rPr>
                <w:b/>
                <w:color w:val="FFFFFF"/>
                <w:sz w:val="24"/>
              </w:rPr>
              <w:t>Baseline</w:t>
            </w:r>
          </w:p>
        </w:tc>
        <w:tc>
          <w:tcPr>
            <w:tcW w:w="1738" w:type="dxa"/>
            <w:tcBorders>
              <w:left w:val="nil"/>
              <w:right w:val="nil"/>
            </w:tcBorders>
            <w:shd w:val="clear" w:color="auto" w:fill="C21139"/>
          </w:tcPr>
          <w:p>
            <w:pPr>
              <w:pStyle w:val="TableParagraph"/>
              <w:rPr>
                <w:rFonts w:ascii="Times New Roman"/>
                <w:sz w:val="28"/>
              </w:rPr>
            </w:pPr>
          </w:p>
          <w:p>
            <w:pPr>
              <w:pStyle w:val="TableParagraph"/>
              <w:spacing w:before="206"/>
              <w:ind w:left="237" w:right="231"/>
              <w:jc w:val="center"/>
              <w:rPr>
                <w:b/>
                <w:sz w:val="24"/>
              </w:rPr>
            </w:pPr>
            <w:r>
              <w:rPr>
                <w:b/>
                <w:color w:val="FFFFFF"/>
                <w:sz w:val="24"/>
              </w:rPr>
              <w:t>Target</w:t>
            </w:r>
          </w:p>
          <w:p>
            <w:pPr>
              <w:pStyle w:val="TableParagraph"/>
              <w:spacing w:before="18"/>
              <w:ind w:left="237" w:right="234"/>
              <w:jc w:val="center"/>
              <w:rPr>
                <w:b/>
                <w:sz w:val="12"/>
              </w:rPr>
            </w:pPr>
            <w:r>
              <w:rPr>
                <w:b/>
                <w:color w:val="FFFFFF"/>
                <w:sz w:val="12"/>
              </w:rPr>
              <w:t>(</w:t>
            </w:r>
            <w:r>
              <w:rPr>
                <w:b/>
                <w:i/>
                <w:color w:val="FFFFFF"/>
                <w:sz w:val="12"/>
              </w:rPr>
              <w:t>Life of Project-Target</w:t>
            </w:r>
            <w:r>
              <w:rPr>
                <w:b/>
                <w:color w:val="FFFFFF"/>
                <w:sz w:val="12"/>
              </w:rPr>
              <w:t>)</w:t>
            </w:r>
          </w:p>
        </w:tc>
        <w:tc>
          <w:tcPr>
            <w:tcW w:w="1530" w:type="dxa"/>
            <w:tcBorders>
              <w:left w:val="nil"/>
              <w:right w:val="nil"/>
            </w:tcBorders>
            <w:shd w:val="clear" w:color="auto" w:fill="C21139"/>
          </w:tcPr>
          <w:p>
            <w:pPr>
              <w:pStyle w:val="TableParagraph"/>
              <w:rPr>
                <w:rFonts w:ascii="Times New Roman"/>
                <w:sz w:val="28"/>
              </w:rPr>
            </w:pPr>
          </w:p>
          <w:p>
            <w:pPr>
              <w:pStyle w:val="TableParagraph"/>
              <w:spacing w:before="206"/>
              <w:ind w:left="138" w:right="132"/>
              <w:jc w:val="center"/>
              <w:rPr>
                <w:b/>
                <w:sz w:val="24"/>
              </w:rPr>
            </w:pPr>
            <w:r>
              <w:rPr>
                <w:b/>
                <w:color w:val="FFFFFF"/>
                <w:sz w:val="24"/>
              </w:rPr>
              <w:t>Actual</w:t>
            </w:r>
          </w:p>
          <w:p>
            <w:pPr>
              <w:pStyle w:val="TableParagraph"/>
              <w:spacing w:before="18"/>
              <w:ind w:left="138" w:right="134"/>
              <w:jc w:val="center"/>
              <w:rPr>
                <w:b/>
                <w:sz w:val="12"/>
              </w:rPr>
            </w:pPr>
            <w:r>
              <w:rPr>
                <w:b/>
                <w:color w:val="FFFFFF"/>
                <w:sz w:val="12"/>
              </w:rPr>
              <w:t>(</w:t>
            </w:r>
            <w:r>
              <w:rPr>
                <w:b/>
                <w:i/>
                <w:color w:val="FFFFFF"/>
                <w:sz w:val="12"/>
              </w:rPr>
              <w:t>Life of Project-Actual</w:t>
            </w:r>
            <w:r>
              <w:rPr>
                <w:b/>
                <w:color w:val="FFFFFF"/>
                <w:sz w:val="12"/>
              </w:rPr>
              <w:t>)</w:t>
            </w:r>
          </w:p>
        </w:tc>
      </w:tr>
      <w:tr>
        <w:trPr>
          <w:trHeight w:val="1360" w:hRule="atLeast"/>
        </w:trPr>
        <w:tc>
          <w:tcPr>
            <w:tcW w:w="3166" w:type="dxa"/>
            <w:shd w:val="clear" w:color="auto" w:fill="DDDDDD"/>
          </w:tcPr>
          <w:p>
            <w:pPr>
              <w:pStyle w:val="TableParagraph"/>
              <w:spacing w:line="290" w:lineRule="auto" w:before="28"/>
              <w:ind w:left="107" w:right="163"/>
              <w:rPr>
                <w:sz w:val="20"/>
              </w:rPr>
            </w:pPr>
            <w:r>
              <w:rPr>
                <w:sz w:val="20"/>
              </w:rPr>
              <w:t>4.2} Number of days to conduct property transactions reduced due to improved information systems [in participating municipalities]</w:t>
            </w:r>
          </w:p>
        </w:tc>
        <w:tc>
          <w:tcPr>
            <w:tcW w:w="5831" w:type="dxa"/>
            <w:shd w:val="clear" w:color="auto" w:fill="DDDDDD"/>
          </w:tcPr>
          <w:p>
            <w:pPr>
              <w:pStyle w:val="TableParagraph"/>
              <w:spacing w:before="28"/>
              <w:ind w:left="107"/>
              <w:rPr>
                <w:i/>
                <w:sz w:val="20"/>
              </w:rPr>
            </w:pPr>
            <w:r>
              <w:rPr>
                <w:i/>
                <w:sz w:val="20"/>
              </w:rPr>
              <w:t>DO: Increase Investment and Private Sector Employment</w:t>
            </w:r>
          </w:p>
          <w:p>
            <w:pPr>
              <w:pStyle w:val="TableParagraph"/>
              <w:spacing w:before="1"/>
              <w:rPr>
                <w:rFonts w:ascii="Times New Roman"/>
                <w:sz w:val="25"/>
              </w:rPr>
            </w:pPr>
          </w:p>
          <w:p>
            <w:pPr>
              <w:pStyle w:val="TableParagraph"/>
              <w:ind w:left="107"/>
              <w:rPr>
                <w:i/>
                <w:sz w:val="20"/>
              </w:rPr>
            </w:pPr>
            <w:r>
              <w:rPr>
                <w:i/>
                <w:sz w:val="20"/>
              </w:rPr>
              <w:t>IR: Improved Economic Governance &amp; Business Environment</w:t>
            </w:r>
          </w:p>
        </w:tc>
        <w:tc>
          <w:tcPr>
            <w:tcW w:w="1621" w:type="dxa"/>
            <w:shd w:val="clear" w:color="auto" w:fill="9DBEE4"/>
          </w:tcPr>
          <w:p>
            <w:pPr>
              <w:pStyle w:val="TableParagraph"/>
              <w:rPr>
                <w:rFonts w:ascii="Times New Roman"/>
                <w:sz w:val="28"/>
              </w:rPr>
            </w:pPr>
          </w:p>
          <w:p>
            <w:pPr>
              <w:pStyle w:val="TableParagraph"/>
              <w:spacing w:before="192"/>
              <w:ind w:left="321" w:right="316"/>
              <w:jc w:val="center"/>
              <w:rPr>
                <w:i/>
                <w:sz w:val="24"/>
              </w:rPr>
            </w:pPr>
            <w:r>
              <w:rPr>
                <w:i/>
                <w:sz w:val="24"/>
              </w:rPr>
              <w:t>33</w:t>
            </w:r>
          </w:p>
        </w:tc>
        <w:tc>
          <w:tcPr>
            <w:tcW w:w="1738" w:type="dxa"/>
            <w:tcBorders>
              <w:right w:val="nil"/>
            </w:tcBorders>
            <w:shd w:val="clear" w:color="auto" w:fill="9DBEE4"/>
          </w:tcPr>
          <w:p>
            <w:pPr>
              <w:pStyle w:val="TableParagraph"/>
              <w:rPr>
                <w:rFonts w:ascii="Times New Roman"/>
                <w:sz w:val="28"/>
              </w:rPr>
            </w:pPr>
          </w:p>
          <w:p>
            <w:pPr>
              <w:pStyle w:val="TableParagraph"/>
              <w:spacing w:before="192"/>
              <w:ind w:left="231" w:right="229"/>
              <w:jc w:val="center"/>
              <w:rPr>
                <w:b/>
                <w:sz w:val="24"/>
              </w:rPr>
            </w:pPr>
            <w:r>
              <w:rPr>
                <w:b/>
                <w:sz w:val="24"/>
              </w:rPr>
              <w:t>29</w:t>
            </w:r>
          </w:p>
        </w:tc>
        <w:tc>
          <w:tcPr>
            <w:tcW w:w="1530" w:type="dxa"/>
            <w:tcBorders>
              <w:left w:val="nil"/>
            </w:tcBorders>
            <w:shd w:val="clear" w:color="auto" w:fill="9DBEE4"/>
          </w:tcPr>
          <w:p>
            <w:pPr>
              <w:pStyle w:val="TableParagraph"/>
              <w:rPr>
                <w:rFonts w:ascii="Times New Roman"/>
                <w:sz w:val="28"/>
              </w:rPr>
            </w:pPr>
          </w:p>
          <w:p>
            <w:pPr>
              <w:pStyle w:val="TableParagraph"/>
              <w:spacing w:before="192"/>
              <w:ind w:left="134" w:right="126"/>
              <w:jc w:val="center"/>
              <w:rPr>
                <w:b/>
                <w:sz w:val="24"/>
              </w:rPr>
            </w:pPr>
            <w:r>
              <w:rPr>
                <w:b/>
                <w:sz w:val="24"/>
              </w:rPr>
              <w:t>29</w:t>
            </w:r>
          </w:p>
        </w:tc>
      </w:tr>
      <w:tr>
        <w:trPr>
          <w:trHeight w:val="1080" w:hRule="atLeast"/>
        </w:trPr>
        <w:tc>
          <w:tcPr>
            <w:tcW w:w="3166" w:type="dxa"/>
            <w:shd w:val="clear" w:color="auto" w:fill="DDDDDD"/>
          </w:tcPr>
          <w:p>
            <w:pPr>
              <w:pStyle w:val="TableParagraph"/>
              <w:spacing w:line="290" w:lineRule="auto" w:before="27"/>
              <w:ind w:left="107" w:right="102"/>
              <w:rPr>
                <w:sz w:val="20"/>
              </w:rPr>
            </w:pPr>
            <w:r>
              <w:rPr>
                <w:sz w:val="20"/>
              </w:rPr>
              <w:t>4.3} Number of parcels corrected or incorporated into land system</w:t>
            </w:r>
            <w:r>
              <w:rPr>
                <w:spacing w:val="-15"/>
                <w:sz w:val="20"/>
              </w:rPr>
              <w:t> </w:t>
            </w:r>
            <w:r>
              <w:rPr>
                <w:sz w:val="20"/>
              </w:rPr>
              <w:t>[in participating</w:t>
            </w:r>
            <w:r>
              <w:rPr>
                <w:spacing w:val="-4"/>
                <w:sz w:val="20"/>
              </w:rPr>
              <w:t> </w:t>
            </w:r>
            <w:r>
              <w:rPr>
                <w:sz w:val="20"/>
              </w:rPr>
              <w:t>municipalities]</w:t>
            </w:r>
          </w:p>
        </w:tc>
        <w:tc>
          <w:tcPr>
            <w:tcW w:w="5831" w:type="dxa"/>
            <w:shd w:val="clear" w:color="auto" w:fill="DDDDDD"/>
          </w:tcPr>
          <w:p>
            <w:pPr>
              <w:pStyle w:val="TableParagraph"/>
              <w:spacing w:before="27"/>
              <w:ind w:left="107"/>
              <w:rPr>
                <w:i/>
                <w:sz w:val="20"/>
              </w:rPr>
            </w:pPr>
            <w:r>
              <w:rPr>
                <w:i/>
                <w:sz w:val="20"/>
              </w:rPr>
              <w:t>DO: Increase Investment and Private Sector Employment</w:t>
            </w:r>
          </w:p>
          <w:p>
            <w:pPr>
              <w:pStyle w:val="TableParagraph"/>
              <w:spacing w:before="1"/>
              <w:rPr>
                <w:rFonts w:ascii="Times New Roman"/>
                <w:sz w:val="25"/>
              </w:rPr>
            </w:pPr>
          </w:p>
          <w:p>
            <w:pPr>
              <w:pStyle w:val="TableParagraph"/>
              <w:spacing w:before="1"/>
              <w:ind w:left="107"/>
              <w:rPr>
                <w:i/>
                <w:sz w:val="20"/>
              </w:rPr>
            </w:pPr>
            <w:r>
              <w:rPr>
                <w:i/>
                <w:sz w:val="20"/>
              </w:rPr>
              <w:t>IR: Improved Economic Governance &amp; Business Environment</w:t>
            </w:r>
          </w:p>
        </w:tc>
        <w:tc>
          <w:tcPr>
            <w:tcW w:w="1621" w:type="dxa"/>
            <w:shd w:val="clear" w:color="auto" w:fill="9DBEE4"/>
          </w:tcPr>
          <w:p>
            <w:pPr>
              <w:pStyle w:val="TableParagraph"/>
              <w:spacing w:before="4"/>
              <w:rPr>
                <w:rFonts w:ascii="Times New Roman"/>
                <w:sz w:val="32"/>
              </w:rPr>
            </w:pPr>
          </w:p>
          <w:p>
            <w:pPr>
              <w:pStyle w:val="TableParagraph"/>
              <w:ind w:left="5"/>
              <w:jc w:val="center"/>
              <w:rPr>
                <w:i/>
                <w:sz w:val="24"/>
              </w:rPr>
            </w:pPr>
            <w:r>
              <w:rPr>
                <w:i/>
                <w:sz w:val="24"/>
              </w:rPr>
              <w:t>0</w:t>
            </w:r>
          </w:p>
        </w:tc>
        <w:tc>
          <w:tcPr>
            <w:tcW w:w="1738" w:type="dxa"/>
            <w:tcBorders>
              <w:right w:val="nil"/>
            </w:tcBorders>
            <w:shd w:val="clear" w:color="auto" w:fill="9DBEE4"/>
          </w:tcPr>
          <w:p>
            <w:pPr>
              <w:pStyle w:val="TableParagraph"/>
              <w:spacing w:before="4"/>
              <w:rPr>
                <w:rFonts w:ascii="Times New Roman"/>
                <w:sz w:val="32"/>
              </w:rPr>
            </w:pPr>
          </w:p>
          <w:p>
            <w:pPr>
              <w:pStyle w:val="TableParagraph"/>
              <w:ind w:left="229" w:right="229"/>
              <w:jc w:val="center"/>
              <w:rPr>
                <w:b/>
                <w:sz w:val="24"/>
              </w:rPr>
            </w:pPr>
            <w:r>
              <w:rPr>
                <w:b/>
                <w:sz w:val="24"/>
              </w:rPr>
              <w:t>440</w:t>
            </w:r>
          </w:p>
        </w:tc>
        <w:tc>
          <w:tcPr>
            <w:tcW w:w="1530" w:type="dxa"/>
            <w:tcBorders>
              <w:left w:val="nil"/>
            </w:tcBorders>
            <w:shd w:val="clear" w:color="auto" w:fill="9DBEE4"/>
          </w:tcPr>
          <w:p>
            <w:pPr>
              <w:pStyle w:val="TableParagraph"/>
              <w:spacing w:before="4"/>
              <w:rPr>
                <w:rFonts w:ascii="Times New Roman"/>
                <w:sz w:val="32"/>
              </w:rPr>
            </w:pPr>
          </w:p>
          <w:p>
            <w:pPr>
              <w:pStyle w:val="TableParagraph"/>
              <w:ind w:left="134" w:right="126"/>
              <w:jc w:val="center"/>
              <w:rPr>
                <w:b/>
                <w:sz w:val="24"/>
              </w:rPr>
            </w:pPr>
            <w:r>
              <w:rPr>
                <w:b/>
                <w:sz w:val="24"/>
              </w:rPr>
              <w:t>4692</w:t>
            </w:r>
          </w:p>
        </w:tc>
      </w:tr>
      <w:tr>
        <w:trPr>
          <w:trHeight w:val="1041" w:hRule="atLeast"/>
        </w:trPr>
        <w:tc>
          <w:tcPr>
            <w:tcW w:w="3166" w:type="dxa"/>
            <w:shd w:val="clear" w:color="auto" w:fill="DDDDDD"/>
          </w:tcPr>
          <w:p>
            <w:pPr>
              <w:pStyle w:val="TableParagraph"/>
              <w:spacing w:line="290" w:lineRule="auto" w:before="27"/>
              <w:ind w:left="107"/>
              <w:rPr>
                <w:sz w:val="20"/>
              </w:rPr>
            </w:pPr>
            <w:r>
              <w:rPr>
                <w:sz w:val="20"/>
              </w:rPr>
              <w:t>4.4} Land rights formalized [in participating municipalities]</w:t>
            </w:r>
          </w:p>
        </w:tc>
        <w:tc>
          <w:tcPr>
            <w:tcW w:w="5831" w:type="dxa"/>
            <w:shd w:val="clear" w:color="auto" w:fill="DDDDDD"/>
          </w:tcPr>
          <w:p>
            <w:pPr>
              <w:pStyle w:val="TableParagraph"/>
              <w:spacing w:before="27"/>
              <w:ind w:left="107"/>
              <w:rPr>
                <w:i/>
                <w:sz w:val="20"/>
              </w:rPr>
            </w:pPr>
            <w:r>
              <w:rPr>
                <w:i/>
                <w:sz w:val="20"/>
              </w:rPr>
              <w:t>DO: Increase Investment and Private Sector Employment</w:t>
            </w:r>
          </w:p>
          <w:p>
            <w:pPr>
              <w:pStyle w:val="TableParagraph"/>
              <w:spacing w:before="1"/>
              <w:rPr>
                <w:rFonts w:ascii="Times New Roman"/>
                <w:sz w:val="25"/>
              </w:rPr>
            </w:pPr>
          </w:p>
          <w:p>
            <w:pPr>
              <w:pStyle w:val="TableParagraph"/>
              <w:spacing w:before="1"/>
              <w:ind w:left="107"/>
              <w:rPr>
                <w:i/>
                <w:sz w:val="20"/>
              </w:rPr>
            </w:pPr>
            <w:r>
              <w:rPr>
                <w:i/>
                <w:sz w:val="20"/>
              </w:rPr>
              <w:t>IR: Improved Economic Governance &amp; Business Environment</w:t>
            </w:r>
          </w:p>
        </w:tc>
        <w:tc>
          <w:tcPr>
            <w:tcW w:w="1621" w:type="dxa"/>
            <w:shd w:val="clear" w:color="auto" w:fill="9DBEE4"/>
          </w:tcPr>
          <w:p>
            <w:pPr>
              <w:pStyle w:val="TableParagraph"/>
              <w:spacing w:before="7"/>
              <w:rPr>
                <w:rFonts w:ascii="Times New Roman"/>
                <w:sz w:val="30"/>
              </w:rPr>
            </w:pPr>
          </w:p>
          <w:p>
            <w:pPr>
              <w:pStyle w:val="TableParagraph"/>
              <w:spacing w:before="1"/>
              <w:ind w:left="5"/>
              <w:jc w:val="center"/>
              <w:rPr>
                <w:i/>
                <w:sz w:val="24"/>
              </w:rPr>
            </w:pPr>
            <w:r>
              <w:rPr>
                <w:i/>
                <w:sz w:val="24"/>
              </w:rPr>
              <w:t>0</w:t>
            </w:r>
          </w:p>
        </w:tc>
        <w:tc>
          <w:tcPr>
            <w:tcW w:w="1738" w:type="dxa"/>
            <w:tcBorders>
              <w:right w:val="nil"/>
            </w:tcBorders>
            <w:shd w:val="clear" w:color="auto" w:fill="9DBEE4"/>
          </w:tcPr>
          <w:p>
            <w:pPr>
              <w:pStyle w:val="TableParagraph"/>
              <w:spacing w:before="7"/>
              <w:rPr>
                <w:rFonts w:ascii="Times New Roman"/>
                <w:sz w:val="30"/>
              </w:rPr>
            </w:pPr>
          </w:p>
          <w:p>
            <w:pPr>
              <w:pStyle w:val="TableParagraph"/>
              <w:spacing w:before="1"/>
              <w:ind w:left="229" w:right="229"/>
              <w:jc w:val="center"/>
              <w:rPr>
                <w:b/>
                <w:sz w:val="24"/>
              </w:rPr>
            </w:pPr>
            <w:r>
              <w:rPr>
                <w:b/>
                <w:sz w:val="24"/>
              </w:rPr>
              <w:t>440</w:t>
            </w:r>
          </w:p>
        </w:tc>
        <w:tc>
          <w:tcPr>
            <w:tcW w:w="1530" w:type="dxa"/>
            <w:tcBorders>
              <w:left w:val="nil"/>
            </w:tcBorders>
            <w:shd w:val="clear" w:color="auto" w:fill="9DBEE4"/>
          </w:tcPr>
          <w:p>
            <w:pPr>
              <w:pStyle w:val="TableParagraph"/>
              <w:spacing w:before="7"/>
              <w:rPr>
                <w:rFonts w:ascii="Times New Roman"/>
                <w:sz w:val="30"/>
              </w:rPr>
            </w:pPr>
          </w:p>
          <w:p>
            <w:pPr>
              <w:pStyle w:val="TableParagraph"/>
              <w:spacing w:before="1"/>
              <w:ind w:left="134" w:right="126"/>
              <w:jc w:val="center"/>
              <w:rPr>
                <w:b/>
                <w:sz w:val="24"/>
              </w:rPr>
            </w:pPr>
            <w:r>
              <w:rPr>
                <w:b/>
                <w:sz w:val="24"/>
              </w:rPr>
              <w:t>4692</w:t>
            </w:r>
          </w:p>
        </w:tc>
      </w:tr>
      <w:tr>
        <w:trPr>
          <w:trHeight w:val="1080" w:hRule="atLeast"/>
        </w:trPr>
        <w:tc>
          <w:tcPr>
            <w:tcW w:w="3166" w:type="dxa"/>
            <w:shd w:val="clear" w:color="auto" w:fill="DDDDDD"/>
          </w:tcPr>
          <w:p>
            <w:pPr>
              <w:pStyle w:val="TableParagraph"/>
              <w:spacing w:line="290" w:lineRule="auto" w:before="27"/>
              <w:ind w:left="107" w:right="297"/>
              <w:rPr>
                <w:sz w:val="20"/>
              </w:rPr>
            </w:pPr>
            <w:r>
              <w:rPr>
                <w:sz w:val="20"/>
              </w:rPr>
              <w:t>4.5} Percent of citizens with increased knowledge of their property rights</w:t>
            </w:r>
          </w:p>
        </w:tc>
        <w:tc>
          <w:tcPr>
            <w:tcW w:w="5831" w:type="dxa"/>
            <w:shd w:val="clear" w:color="auto" w:fill="DDDDDD"/>
          </w:tcPr>
          <w:p>
            <w:pPr>
              <w:pStyle w:val="TableParagraph"/>
              <w:spacing w:before="27"/>
              <w:ind w:left="107"/>
              <w:rPr>
                <w:i/>
                <w:sz w:val="20"/>
              </w:rPr>
            </w:pPr>
            <w:r>
              <w:rPr>
                <w:i/>
                <w:sz w:val="20"/>
              </w:rPr>
              <w:t>DO: Increase Investment and Private Sector Employment</w:t>
            </w:r>
          </w:p>
          <w:p>
            <w:pPr>
              <w:pStyle w:val="TableParagraph"/>
              <w:spacing w:before="11"/>
              <w:rPr>
                <w:rFonts w:ascii="Times New Roman"/>
                <w:sz w:val="24"/>
              </w:rPr>
            </w:pPr>
          </w:p>
          <w:p>
            <w:pPr>
              <w:pStyle w:val="TableParagraph"/>
              <w:ind w:left="107"/>
              <w:rPr>
                <w:i/>
                <w:sz w:val="20"/>
              </w:rPr>
            </w:pPr>
            <w:r>
              <w:rPr>
                <w:i/>
                <w:sz w:val="20"/>
              </w:rPr>
              <w:t>IR: Improved Economic Governance &amp; Business Environment</w:t>
            </w:r>
          </w:p>
        </w:tc>
        <w:tc>
          <w:tcPr>
            <w:tcW w:w="1621" w:type="dxa"/>
            <w:shd w:val="clear" w:color="auto" w:fill="9DBEE4"/>
          </w:tcPr>
          <w:p>
            <w:pPr>
              <w:pStyle w:val="TableParagraph"/>
              <w:spacing w:before="4"/>
              <w:rPr>
                <w:rFonts w:ascii="Times New Roman"/>
                <w:sz w:val="32"/>
              </w:rPr>
            </w:pPr>
          </w:p>
          <w:p>
            <w:pPr>
              <w:pStyle w:val="TableParagraph"/>
              <w:ind w:left="321" w:right="314"/>
              <w:jc w:val="center"/>
              <w:rPr>
                <w:i/>
                <w:sz w:val="24"/>
              </w:rPr>
            </w:pPr>
            <w:r>
              <w:rPr>
                <w:i/>
                <w:sz w:val="24"/>
              </w:rPr>
              <w:t>27%</w:t>
            </w:r>
          </w:p>
        </w:tc>
        <w:tc>
          <w:tcPr>
            <w:tcW w:w="1738" w:type="dxa"/>
            <w:tcBorders>
              <w:right w:val="nil"/>
            </w:tcBorders>
            <w:shd w:val="clear" w:color="auto" w:fill="9DBEE4"/>
          </w:tcPr>
          <w:p>
            <w:pPr>
              <w:pStyle w:val="TableParagraph"/>
              <w:spacing w:before="4"/>
              <w:rPr>
                <w:rFonts w:ascii="Times New Roman"/>
                <w:sz w:val="32"/>
              </w:rPr>
            </w:pPr>
          </w:p>
          <w:p>
            <w:pPr>
              <w:pStyle w:val="TableParagraph"/>
              <w:ind w:left="230" w:right="229"/>
              <w:jc w:val="center"/>
              <w:rPr>
                <w:b/>
                <w:sz w:val="24"/>
              </w:rPr>
            </w:pPr>
            <w:r>
              <w:rPr>
                <w:b/>
                <w:sz w:val="24"/>
              </w:rPr>
              <w:t>52%</w:t>
            </w:r>
          </w:p>
        </w:tc>
        <w:tc>
          <w:tcPr>
            <w:tcW w:w="1530" w:type="dxa"/>
            <w:tcBorders>
              <w:left w:val="nil"/>
            </w:tcBorders>
            <w:shd w:val="clear" w:color="auto" w:fill="9DBEE4"/>
          </w:tcPr>
          <w:p>
            <w:pPr>
              <w:pStyle w:val="TableParagraph"/>
              <w:spacing w:before="4"/>
              <w:rPr>
                <w:rFonts w:ascii="Times New Roman"/>
                <w:sz w:val="32"/>
              </w:rPr>
            </w:pPr>
          </w:p>
          <w:p>
            <w:pPr>
              <w:pStyle w:val="TableParagraph"/>
              <w:ind w:left="134" w:right="127"/>
              <w:jc w:val="center"/>
              <w:rPr>
                <w:b/>
                <w:sz w:val="24"/>
              </w:rPr>
            </w:pPr>
            <w:r>
              <w:rPr>
                <w:b/>
                <w:sz w:val="24"/>
              </w:rPr>
              <w:t>51%</w:t>
            </w:r>
          </w:p>
        </w:tc>
      </w:tr>
      <w:tr>
        <w:trPr>
          <w:trHeight w:val="1079" w:hRule="atLeast"/>
        </w:trPr>
        <w:tc>
          <w:tcPr>
            <w:tcW w:w="3166" w:type="dxa"/>
            <w:shd w:val="clear" w:color="auto" w:fill="DDDDDD"/>
          </w:tcPr>
          <w:p>
            <w:pPr>
              <w:pStyle w:val="TableParagraph"/>
              <w:spacing w:line="290" w:lineRule="auto" w:before="27"/>
              <w:ind w:left="107" w:right="124"/>
              <w:rPr>
                <w:sz w:val="20"/>
              </w:rPr>
            </w:pPr>
            <w:r>
              <w:rPr>
                <w:sz w:val="20"/>
              </w:rPr>
              <w:t>4.6} Number of municipal officials</w:t>
            </w:r>
            <w:r>
              <w:rPr>
                <w:spacing w:val="-21"/>
                <w:sz w:val="20"/>
              </w:rPr>
              <w:t> </w:t>
            </w:r>
            <w:r>
              <w:rPr>
                <w:sz w:val="20"/>
              </w:rPr>
              <w:t>in participating municipalities trained in property related</w:t>
            </w:r>
            <w:r>
              <w:rPr>
                <w:spacing w:val="-4"/>
                <w:sz w:val="20"/>
              </w:rPr>
              <w:t> </w:t>
            </w:r>
            <w:r>
              <w:rPr>
                <w:sz w:val="20"/>
              </w:rPr>
              <w:t>issues.</w:t>
            </w:r>
          </w:p>
        </w:tc>
        <w:tc>
          <w:tcPr>
            <w:tcW w:w="5831" w:type="dxa"/>
            <w:shd w:val="clear" w:color="auto" w:fill="DDDDDD"/>
          </w:tcPr>
          <w:p>
            <w:pPr>
              <w:pStyle w:val="TableParagraph"/>
              <w:spacing w:before="27"/>
              <w:ind w:left="107"/>
              <w:rPr>
                <w:i/>
                <w:sz w:val="20"/>
              </w:rPr>
            </w:pPr>
            <w:r>
              <w:rPr>
                <w:i/>
                <w:sz w:val="20"/>
              </w:rPr>
              <w:t>DO: Increase Investment and Private Sector Employment</w:t>
            </w:r>
          </w:p>
          <w:p>
            <w:pPr>
              <w:pStyle w:val="TableParagraph"/>
              <w:spacing w:before="1"/>
              <w:rPr>
                <w:rFonts w:ascii="Times New Roman"/>
                <w:sz w:val="25"/>
              </w:rPr>
            </w:pPr>
          </w:p>
          <w:p>
            <w:pPr>
              <w:pStyle w:val="TableParagraph"/>
              <w:spacing w:before="1"/>
              <w:ind w:left="107"/>
              <w:rPr>
                <w:i/>
                <w:sz w:val="20"/>
              </w:rPr>
            </w:pPr>
            <w:r>
              <w:rPr>
                <w:i/>
                <w:sz w:val="20"/>
              </w:rPr>
              <w:t>IR: Improved Economic Governance &amp; Business Environment</w:t>
            </w:r>
          </w:p>
        </w:tc>
        <w:tc>
          <w:tcPr>
            <w:tcW w:w="1621" w:type="dxa"/>
            <w:shd w:val="clear" w:color="auto" w:fill="9DBEE4"/>
          </w:tcPr>
          <w:p>
            <w:pPr>
              <w:pStyle w:val="TableParagraph"/>
              <w:spacing w:before="4"/>
              <w:rPr>
                <w:rFonts w:ascii="Times New Roman"/>
                <w:sz w:val="32"/>
              </w:rPr>
            </w:pPr>
          </w:p>
          <w:p>
            <w:pPr>
              <w:pStyle w:val="TableParagraph"/>
              <w:ind w:left="5"/>
              <w:jc w:val="center"/>
              <w:rPr>
                <w:i/>
                <w:sz w:val="24"/>
              </w:rPr>
            </w:pPr>
            <w:r>
              <w:rPr>
                <w:i/>
                <w:sz w:val="24"/>
              </w:rPr>
              <w:t>0</w:t>
            </w:r>
          </w:p>
        </w:tc>
        <w:tc>
          <w:tcPr>
            <w:tcW w:w="1738" w:type="dxa"/>
            <w:tcBorders>
              <w:right w:val="nil"/>
            </w:tcBorders>
            <w:shd w:val="clear" w:color="auto" w:fill="9DBEE4"/>
          </w:tcPr>
          <w:p>
            <w:pPr>
              <w:pStyle w:val="TableParagraph"/>
              <w:spacing w:before="4"/>
              <w:rPr>
                <w:rFonts w:ascii="Times New Roman"/>
                <w:sz w:val="32"/>
              </w:rPr>
            </w:pPr>
          </w:p>
          <w:p>
            <w:pPr>
              <w:pStyle w:val="TableParagraph"/>
              <w:ind w:left="231" w:right="229"/>
              <w:jc w:val="center"/>
              <w:rPr>
                <w:b/>
                <w:sz w:val="24"/>
              </w:rPr>
            </w:pPr>
            <w:r>
              <w:rPr>
                <w:b/>
                <w:sz w:val="24"/>
              </w:rPr>
              <w:t>40</w:t>
            </w:r>
          </w:p>
        </w:tc>
        <w:tc>
          <w:tcPr>
            <w:tcW w:w="1530" w:type="dxa"/>
            <w:tcBorders>
              <w:left w:val="nil"/>
            </w:tcBorders>
            <w:shd w:val="clear" w:color="auto" w:fill="9DBEE4"/>
          </w:tcPr>
          <w:p>
            <w:pPr>
              <w:pStyle w:val="TableParagraph"/>
              <w:spacing w:before="4"/>
              <w:rPr>
                <w:rFonts w:ascii="Times New Roman"/>
                <w:sz w:val="32"/>
              </w:rPr>
            </w:pPr>
          </w:p>
          <w:p>
            <w:pPr>
              <w:pStyle w:val="TableParagraph"/>
              <w:ind w:left="134" w:right="126"/>
              <w:jc w:val="center"/>
              <w:rPr>
                <w:b/>
                <w:sz w:val="24"/>
              </w:rPr>
            </w:pPr>
            <w:r>
              <w:rPr>
                <w:b/>
                <w:sz w:val="24"/>
              </w:rPr>
              <w:t>81</w:t>
            </w:r>
          </w:p>
        </w:tc>
      </w:tr>
    </w:tbl>
    <w:p>
      <w:pPr>
        <w:spacing w:after="0"/>
        <w:jc w:val="center"/>
        <w:rPr>
          <w:sz w:val="24"/>
        </w:rPr>
        <w:sectPr>
          <w:pgSz w:w="16840" w:h="11910" w:orient="landscape"/>
          <w:pgMar w:header="0" w:footer="640" w:top="1100" w:bottom="820" w:left="1340" w:right="1400"/>
        </w:sectPr>
      </w:pPr>
    </w:p>
    <w:p>
      <w:pPr>
        <w:pStyle w:val="Heading3"/>
      </w:pPr>
      <w:bookmarkStart w:name="_bookmark20" w:id="21"/>
      <w:bookmarkEnd w:id="21"/>
      <w:r>
        <w:rPr>
          <w:b w:val="0"/>
        </w:rPr>
      </w:r>
      <w:r>
        <w:rPr>
          <w:color w:val="C21139"/>
        </w:rPr>
        <w:t>SUCCESS STORY</w:t>
      </w:r>
    </w:p>
    <w:p>
      <w:pPr>
        <w:pStyle w:val="BodyText"/>
        <w:spacing w:before="151"/>
        <w:ind w:left="520"/>
      </w:pPr>
      <w:r>
        <w:rPr>
          <w:color w:val="6C6362"/>
        </w:rPr>
        <w:t>The PRP project success story is provided on the next page.</w:t>
      </w:r>
    </w:p>
    <w:p>
      <w:pPr>
        <w:spacing w:after="0"/>
        <w:sectPr>
          <w:footerReference w:type="default" r:id="rId69"/>
          <w:pgSz w:w="11910" w:h="16840"/>
          <w:pgMar w:footer="640" w:header="0" w:top="1440" w:bottom="820" w:left="920" w:right="340"/>
          <w:pgNumType w:start="37"/>
        </w:sectPr>
      </w:pPr>
    </w:p>
    <w:p>
      <w:pPr>
        <w:pStyle w:val="BodyText"/>
        <w:rPr>
          <w:sz w:val="20"/>
        </w:rPr>
      </w:pPr>
      <w:r>
        <w:rPr/>
        <w:drawing>
          <wp:anchor distT="0" distB="0" distL="0" distR="0" allowOverlap="1" layoutInCell="1" locked="0" behindDoc="0" simplePos="0" relativeHeight="1912">
            <wp:simplePos x="0" y="0"/>
            <wp:positionH relativeFrom="page">
              <wp:posOffset>2866389</wp:posOffset>
            </wp:positionH>
            <wp:positionV relativeFrom="page">
              <wp:posOffset>0</wp:posOffset>
            </wp:positionV>
            <wp:extent cx="4694174" cy="4001769"/>
            <wp:effectExtent l="0" t="0" r="0" b="0"/>
            <wp:wrapNone/>
            <wp:docPr id="25" name="image32.png" descr=""/>
            <wp:cNvGraphicFramePr>
              <a:graphicFrameLocks noChangeAspect="1"/>
            </wp:cNvGraphicFramePr>
            <a:graphic>
              <a:graphicData uri="http://schemas.openxmlformats.org/drawingml/2006/picture">
                <pic:pic>
                  <pic:nvPicPr>
                    <pic:cNvPr id="26" name="image32.png"/>
                    <pic:cNvPicPr/>
                  </pic:nvPicPr>
                  <pic:blipFill>
                    <a:blip r:embed="rId71" cstate="print"/>
                    <a:stretch>
                      <a:fillRect/>
                    </a:stretch>
                  </pic:blipFill>
                  <pic:spPr>
                    <a:xfrm>
                      <a:off x="0" y="0"/>
                      <a:ext cx="4694174" cy="400176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ind w:left="107"/>
        <w:rPr>
          <w:sz w:val="20"/>
        </w:rPr>
      </w:pPr>
      <w:r>
        <w:rPr>
          <w:sz w:val="20"/>
        </w:rPr>
        <w:drawing>
          <wp:inline distT="0" distB="0" distL="0" distR="0">
            <wp:extent cx="1938214" cy="580644"/>
            <wp:effectExtent l="0" t="0" r="0" b="0"/>
            <wp:docPr id="27" name="image33.jpeg" descr=""/>
            <wp:cNvGraphicFramePr>
              <a:graphicFrameLocks noChangeAspect="1"/>
            </wp:cNvGraphicFramePr>
            <a:graphic>
              <a:graphicData uri="http://schemas.openxmlformats.org/drawingml/2006/picture">
                <pic:pic>
                  <pic:nvPicPr>
                    <pic:cNvPr id="28" name="image33.jpeg"/>
                    <pic:cNvPicPr/>
                  </pic:nvPicPr>
                  <pic:blipFill>
                    <a:blip r:embed="rId72" cstate="print"/>
                    <a:stretch>
                      <a:fillRect/>
                    </a:stretch>
                  </pic:blipFill>
                  <pic:spPr>
                    <a:xfrm>
                      <a:off x="0" y="0"/>
                      <a:ext cx="1938214" cy="58064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Heading1"/>
        <w:spacing w:line="603" w:lineRule="exact" w:before="101"/>
      </w:pPr>
      <w:r>
        <w:rPr>
          <w:color w:val="C21139"/>
        </w:rPr>
        <w:t>SNAPSHOT</w:t>
      </w:r>
    </w:p>
    <w:p>
      <w:pPr>
        <w:spacing w:before="0"/>
        <w:ind w:left="520" w:right="1337" w:firstLine="0"/>
        <w:jc w:val="left"/>
        <w:rPr>
          <w:sz w:val="52"/>
        </w:rPr>
      </w:pPr>
      <w:r>
        <w:rPr>
          <w:color w:val="7E7E7E"/>
          <w:spacing w:val="-18"/>
          <w:sz w:val="52"/>
        </w:rPr>
        <w:t>KOSOVO </w:t>
      </w:r>
      <w:r>
        <w:rPr>
          <w:color w:val="7E7E7E"/>
          <w:spacing w:val="-11"/>
          <w:sz w:val="52"/>
        </w:rPr>
        <w:t>PROPERTY </w:t>
      </w:r>
      <w:r>
        <w:rPr>
          <w:color w:val="7E7E7E"/>
          <w:sz w:val="52"/>
        </w:rPr>
        <w:t>RIGHTS </w:t>
      </w:r>
      <w:r>
        <w:rPr>
          <w:color w:val="7E7E7E"/>
          <w:spacing w:val="-5"/>
          <w:sz w:val="52"/>
        </w:rPr>
        <w:t>PROGRAM </w:t>
      </w:r>
      <w:r>
        <w:rPr>
          <w:color w:val="7E7E7E"/>
          <w:sz w:val="52"/>
        </w:rPr>
        <w:t>(PRP)</w:t>
      </w:r>
    </w:p>
    <w:p>
      <w:pPr>
        <w:pStyle w:val="BodyText"/>
        <w:spacing w:line="259" w:lineRule="auto" w:before="272"/>
        <w:ind w:left="520" w:right="1167"/>
      </w:pPr>
      <w:r>
        <w:rPr/>
        <w:drawing>
          <wp:anchor distT="0" distB="0" distL="0" distR="0" allowOverlap="1" layoutInCell="1" locked="0" behindDoc="0" simplePos="0" relativeHeight="1936">
            <wp:simplePos x="0" y="0"/>
            <wp:positionH relativeFrom="page">
              <wp:posOffset>7135114</wp:posOffset>
            </wp:positionH>
            <wp:positionV relativeFrom="paragraph">
              <wp:posOffset>890030</wp:posOffset>
            </wp:positionV>
            <wp:extent cx="140207" cy="2412492"/>
            <wp:effectExtent l="0" t="0" r="0" b="0"/>
            <wp:wrapNone/>
            <wp:docPr id="29" name="image34.png" descr=""/>
            <wp:cNvGraphicFramePr>
              <a:graphicFrameLocks noChangeAspect="1"/>
            </wp:cNvGraphicFramePr>
            <a:graphic>
              <a:graphicData uri="http://schemas.openxmlformats.org/drawingml/2006/picture">
                <pic:pic>
                  <pic:nvPicPr>
                    <pic:cNvPr id="30" name="image34.png"/>
                    <pic:cNvPicPr/>
                  </pic:nvPicPr>
                  <pic:blipFill>
                    <a:blip r:embed="rId73" cstate="print"/>
                    <a:stretch>
                      <a:fillRect/>
                    </a:stretch>
                  </pic:blipFill>
                  <pic:spPr>
                    <a:xfrm>
                      <a:off x="0" y="0"/>
                      <a:ext cx="140207" cy="2412492"/>
                    </a:xfrm>
                    <a:prstGeom prst="rect">
                      <a:avLst/>
                    </a:prstGeom>
                  </pic:spPr>
                </pic:pic>
              </a:graphicData>
            </a:graphic>
          </wp:anchor>
        </w:drawing>
      </w:r>
      <w:r>
        <w:rPr>
          <w:color w:val="767070"/>
        </w:rPr>
        <w:t>The Kosovo Constitution provides that the European Convention on Human Rights is directly applicable in Kosovo, as are decisions of the European Court of Human Rights (ECHR) in its application of the European Convention. Yet, because most ECHR decisions are issued only in the French and English languages, many Kosovo policymakers, judges and legal professionals do not have ready access to the Court’s decisions. To help address this situation, PRP has produced summaries of 144 key decisions from the European Court of Human Rights that concern property rights. The case summaries were prepared by 16 law students-interns who worked under the close supervision of three Kosovo law experts and translated into the Albanian and Serbian languages.</w:t>
      </w:r>
    </w:p>
    <w:p>
      <w:pPr>
        <w:pStyle w:val="BodyText"/>
        <w:spacing w:before="6"/>
        <w:rPr>
          <w:sz w:val="23"/>
        </w:rPr>
      </w:pPr>
    </w:p>
    <w:p>
      <w:pPr>
        <w:pStyle w:val="BodyText"/>
        <w:ind w:left="520"/>
      </w:pPr>
      <w:r>
        <w:rPr>
          <w:color w:val="767070"/>
        </w:rPr>
        <w:t>The case summaries address the following subject areas in property rights;</w:t>
      </w:r>
    </w:p>
    <w:p>
      <w:pPr>
        <w:pStyle w:val="BodyText"/>
        <w:spacing w:before="7"/>
        <w:rPr>
          <w:sz w:val="25"/>
        </w:rPr>
      </w:pPr>
    </w:p>
    <w:p>
      <w:pPr>
        <w:pStyle w:val="ListParagraph"/>
        <w:numPr>
          <w:ilvl w:val="0"/>
          <w:numId w:val="6"/>
        </w:numPr>
        <w:tabs>
          <w:tab w:pos="880" w:val="left" w:leader="none"/>
          <w:tab w:pos="881" w:val="left" w:leader="none"/>
        </w:tabs>
        <w:spacing w:line="240" w:lineRule="auto" w:before="1" w:after="0"/>
        <w:ind w:left="880" w:right="0" w:hanging="360"/>
        <w:jc w:val="left"/>
        <w:rPr>
          <w:rFonts w:ascii="Symbol" w:hAnsi="Symbol"/>
          <w:color w:val="767070"/>
          <w:sz w:val="22"/>
        </w:rPr>
      </w:pPr>
      <w:r>
        <w:rPr>
          <w:color w:val="767070"/>
          <w:sz w:val="22"/>
        </w:rPr>
        <w:t>Expropriation; Nationalization;</w:t>
      </w:r>
      <w:r>
        <w:rPr>
          <w:color w:val="767070"/>
          <w:spacing w:val="-2"/>
          <w:sz w:val="22"/>
        </w:rPr>
        <w:t> </w:t>
      </w:r>
      <w:r>
        <w:rPr>
          <w:color w:val="767070"/>
          <w:sz w:val="22"/>
        </w:rPr>
        <w:t>Compensation</w:t>
      </w:r>
    </w:p>
    <w:p>
      <w:pPr>
        <w:pStyle w:val="ListParagraph"/>
        <w:numPr>
          <w:ilvl w:val="0"/>
          <w:numId w:val="6"/>
        </w:numPr>
        <w:tabs>
          <w:tab w:pos="880" w:val="left" w:leader="none"/>
          <w:tab w:pos="881" w:val="left" w:leader="none"/>
        </w:tabs>
        <w:spacing w:line="240" w:lineRule="auto" w:before="21" w:after="0"/>
        <w:ind w:left="880" w:right="0" w:hanging="360"/>
        <w:jc w:val="left"/>
        <w:rPr>
          <w:rFonts w:ascii="Symbol" w:hAnsi="Symbol"/>
          <w:color w:val="6C6362"/>
          <w:sz w:val="22"/>
        </w:rPr>
      </w:pPr>
      <w:r>
        <w:rPr>
          <w:color w:val="6C6362"/>
          <w:sz w:val="22"/>
        </w:rPr>
        <w:t>Restoration of Ownership</w:t>
      </w:r>
      <w:r>
        <w:rPr>
          <w:color w:val="6C6362"/>
          <w:spacing w:val="-4"/>
          <w:sz w:val="22"/>
        </w:rPr>
        <w:t> </w:t>
      </w:r>
      <w:r>
        <w:rPr>
          <w:color w:val="6C6362"/>
          <w:sz w:val="22"/>
        </w:rPr>
        <w:t>Rights</w:t>
      </w:r>
    </w:p>
    <w:p>
      <w:pPr>
        <w:pStyle w:val="ListParagraph"/>
        <w:numPr>
          <w:ilvl w:val="0"/>
          <w:numId w:val="6"/>
        </w:numPr>
        <w:tabs>
          <w:tab w:pos="880" w:val="left" w:leader="none"/>
          <w:tab w:pos="881" w:val="left" w:leader="none"/>
        </w:tabs>
        <w:spacing w:line="240" w:lineRule="auto" w:before="18" w:after="0"/>
        <w:ind w:left="880" w:right="0" w:hanging="360"/>
        <w:jc w:val="left"/>
        <w:rPr>
          <w:rFonts w:ascii="Symbol" w:hAnsi="Symbol"/>
          <w:color w:val="6C6362"/>
          <w:sz w:val="22"/>
        </w:rPr>
      </w:pPr>
      <w:r>
        <w:rPr/>
        <w:pict>
          <v:shape style="position:absolute;margin-left:562.324829pt;margin-top:5.620482pt;width:9pt;height:62.2pt;mso-position-horizontal-relative:page;mso-position-vertical-relative:paragraph;z-index:1960" type="#_x0000_t202" filled="false" stroked="false">
            <v:textbox inset="0,0,0,0" style="layout-flow:vertical;mso-layout-flow-alt:bottom-to-top">
              <w:txbxContent>
                <w:p>
                  <w:pPr>
                    <w:spacing w:before="20"/>
                    <w:ind w:left="20" w:right="0" w:firstLine="0"/>
                    <w:jc w:val="left"/>
                    <w:rPr>
                      <w:sz w:val="12"/>
                    </w:rPr>
                  </w:pPr>
                  <w:r>
                    <w:rPr>
                      <w:color w:val="6C6362"/>
                      <w:sz w:val="12"/>
                    </w:rPr>
                    <w:t>H. LIMANI / USAID PRP</w:t>
                  </w:r>
                </w:p>
              </w:txbxContent>
            </v:textbox>
            <w10:wrap type="none"/>
          </v:shape>
        </w:pict>
      </w:r>
      <w:r>
        <w:rPr>
          <w:color w:val="6C6362"/>
          <w:sz w:val="22"/>
        </w:rPr>
        <w:t>Regulation of Property; Interference with Quiet Enjoyment; State</w:t>
      </w:r>
      <w:r>
        <w:rPr>
          <w:color w:val="6C6362"/>
          <w:spacing w:val="-7"/>
          <w:sz w:val="22"/>
        </w:rPr>
        <w:t> </w:t>
      </w:r>
      <w:r>
        <w:rPr>
          <w:color w:val="6C6362"/>
          <w:sz w:val="22"/>
        </w:rPr>
        <w:t>Action</w:t>
      </w:r>
    </w:p>
    <w:p>
      <w:pPr>
        <w:pStyle w:val="ListParagraph"/>
        <w:numPr>
          <w:ilvl w:val="0"/>
          <w:numId w:val="6"/>
        </w:numPr>
        <w:tabs>
          <w:tab w:pos="880" w:val="left" w:leader="none"/>
          <w:tab w:pos="881" w:val="left" w:leader="none"/>
        </w:tabs>
        <w:spacing w:line="240" w:lineRule="auto" w:before="21" w:after="0"/>
        <w:ind w:left="880" w:right="0" w:hanging="360"/>
        <w:jc w:val="left"/>
        <w:rPr>
          <w:rFonts w:ascii="Symbol" w:hAnsi="Symbol"/>
          <w:color w:val="6C6362"/>
          <w:sz w:val="22"/>
        </w:rPr>
      </w:pPr>
      <w:r>
        <w:rPr>
          <w:color w:val="6C6362"/>
          <w:sz w:val="22"/>
        </w:rPr>
        <w:t>Pension Rights; Employment Benefits; War</w:t>
      </w:r>
      <w:r>
        <w:rPr>
          <w:color w:val="6C6362"/>
          <w:spacing w:val="-9"/>
          <w:sz w:val="22"/>
        </w:rPr>
        <w:t> </w:t>
      </w:r>
      <w:r>
        <w:rPr>
          <w:color w:val="6C6362"/>
          <w:sz w:val="22"/>
        </w:rPr>
        <w:t>Reparations</w:t>
      </w:r>
    </w:p>
    <w:p>
      <w:pPr>
        <w:pStyle w:val="ListParagraph"/>
        <w:numPr>
          <w:ilvl w:val="0"/>
          <w:numId w:val="6"/>
        </w:numPr>
        <w:tabs>
          <w:tab w:pos="880" w:val="left" w:leader="none"/>
          <w:tab w:pos="881" w:val="left" w:leader="none"/>
        </w:tabs>
        <w:spacing w:line="240" w:lineRule="auto" w:before="21" w:after="0"/>
        <w:ind w:left="880" w:right="0" w:hanging="360"/>
        <w:jc w:val="left"/>
        <w:rPr>
          <w:rFonts w:ascii="Symbol" w:hAnsi="Symbol"/>
          <w:color w:val="6C6362"/>
          <w:sz w:val="22"/>
        </w:rPr>
      </w:pPr>
      <w:r>
        <w:rPr>
          <w:color w:val="6C6362"/>
          <w:sz w:val="22"/>
        </w:rPr>
        <w:t>Contractual Relations;</w:t>
      </w:r>
      <w:r>
        <w:rPr>
          <w:color w:val="6C6362"/>
          <w:spacing w:val="-5"/>
          <w:sz w:val="22"/>
        </w:rPr>
        <w:t> </w:t>
      </w:r>
      <w:r>
        <w:rPr>
          <w:color w:val="6C6362"/>
          <w:sz w:val="22"/>
        </w:rPr>
        <w:t>Rent</w:t>
      </w:r>
    </w:p>
    <w:p>
      <w:pPr>
        <w:pStyle w:val="ListParagraph"/>
        <w:numPr>
          <w:ilvl w:val="0"/>
          <w:numId w:val="6"/>
        </w:numPr>
        <w:tabs>
          <w:tab w:pos="880" w:val="left" w:leader="none"/>
          <w:tab w:pos="881" w:val="left" w:leader="none"/>
        </w:tabs>
        <w:spacing w:line="240" w:lineRule="auto" w:before="18" w:after="0"/>
        <w:ind w:left="880" w:right="0" w:hanging="360"/>
        <w:jc w:val="left"/>
        <w:rPr>
          <w:rFonts w:ascii="Symbol" w:hAnsi="Symbol"/>
          <w:color w:val="6C6362"/>
          <w:sz w:val="22"/>
        </w:rPr>
      </w:pPr>
      <w:r>
        <w:rPr>
          <w:color w:val="6C6362"/>
          <w:sz w:val="22"/>
        </w:rPr>
        <w:t>Discrimination; Inheritance; Marital Property; Family</w:t>
      </w:r>
      <w:r>
        <w:rPr>
          <w:color w:val="6C6362"/>
          <w:spacing w:val="-4"/>
          <w:sz w:val="22"/>
        </w:rPr>
        <w:t> </w:t>
      </w:r>
      <w:r>
        <w:rPr>
          <w:color w:val="6C6362"/>
          <w:sz w:val="22"/>
        </w:rPr>
        <w:t>Matters</w:t>
      </w:r>
    </w:p>
    <w:p>
      <w:pPr>
        <w:pStyle w:val="ListParagraph"/>
        <w:numPr>
          <w:ilvl w:val="0"/>
          <w:numId w:val="6"/>
        </w:numPr>
        <w:tabs>
          <w:tab w:pos="880" w:val="left" w:leader="none"/>
          <w:tab w:pos="881" w:val="left" w:leader="none"/>
        </w:tabs>
        <w:spacing w:line="240" w:lineRule="auto" w:before="21" w:after="0"/>
        <w:ind w:left="880" w:right="0" w:hanging="360"/>
        <w:jc w:val="left"/>
        <w:rPr>
          <w:rFonts w:ascii="Symbol" w:hAnsi="Symbol"/>
          <w:color w:val="6C6362"/>
          <w:sz w:val="22"/>
        </w:rPr>
      </w:pPr>
      <w:r>
        <w:rPr>
          <w:color w:val="6C6362"/>
          <w:sz w:val="22"/>
        </w:rPr>
        <w:t>Respect for Property; Family</w:t>
      </w:r>
      <w:r>
        <w:rPr>
          <w:color w:val="6C6362"/>
          <w:spacing w:val="-5"/>
          <w:sz w:val="22"/>
        </w:rPr>
        <w:t> </w:t>
      </w:r>
      <w:r>
        <w:rPr>
          <w:color w:val="6C6362"/>
          <w:sz w:val="22"/>
        </w:rPr>
        <w:t>Life</w:t>
      </w:r>
    </w:p>
    <w:p>
      <w:pPr>
        <w:pStyle w:val="ListParagraph"/>
        <w:numPr>
          <w:ilvl w:val="0"/>
          <w:numId w:val="6"/>
        </w:numPr>
        <w:tabs>
          <w:tab w:pos="880" w:val="left" w:leader="none"/>
          <w:tab w:pos="881" w:val="left" w:leader="none"/>
        </w:tabs>
        <w:spacing w:line="240" w:lineRule="auto" w:before="21" w:after="0"/>
        <w:ind w:left="880" w:right="0" w:hanging="360"/>
        <w:jc w:val="left"/>
        <w:rPr>
          <w:rFonts w:ascii="Symbol" w:hAnsi="Symbol"/>
          <w:color w:val="6C6362"/>
          <w:sz w:val="22"/>
        </w:rPr>
      </w:pPr>
      <w:r>
        <w:rPr>
          <w:color w:val="6C6362"/>
          <w:sz w:val="22"/>
        </w:rPr>
        <w:t>Currency and Deposits</w:t>
      </w:r>
    </w:p>
    <w:p>
      <w:pPr>
        <w:pStyle w:val="ListParagraph"/>
        <w:numPr>
          <w:ilvl w:val="0"/>
          <w:numId w:val="6"/>
        </w:numPr>
        <w:tabs>
          <w:tab w:pos="880" w:val="left" w:leader="none"/>
          <w:tab w:pos="881" w:val="left" w:leader="none"/>
        </w:tabs>
        <w:spacing w:line="240" w:lineRule="auto" w:before="19" w:after="0"/>
        <w:ind w:left="880" w:right="0" w:hanging="360"/>
        <w:jc w:val="left"/>
        <w:rPr>
          <w:rFonts w:ascii="Symbol" w:hAnsi="Symbol"/>
          <w:color w:val="6C6362"/>
          <w:sz w:val="22"/>
        </w:rPr>
      </w:pPr>
      <w:r>
        <w:rPr>
          <w:color w:val="6C6362"/>
          <w:sz w:val="22"/>
        </w:rPr>
        <w:t>Failure to Enforce Judgments; Protracted Procedures; Access to Justice; Judicial</w:t>
      </w:r>
      <w:r>
        <w:rPr>
          <w:color w:val="6C6362"/>
          <w:spacing w:val="-16"/>
          <w:sz w:val="22"/>
        </w:rPr>
        <w:t> </w:t>
      </w:r>
      <w:r>
        <w:rPr>
          <w:color w:val="6C6362"/>
          <w:sz w:val="22"/>
        </w:rPr>
        <w:t>Process</w:t>
      </w:r>
    </w:p>
    <w:p>
      <w:pPr>
        <w:pStyle w:val="ListParagraph"/>
        <w:numPr>
          <w:ilvl w:val="0"/>
          <w:numId w:val="6"/>
        </w:numPr>
        <w:tabs>
          <w:tab w:pos="880" w:val="left" w:leader="none"/>
          <w:tab w:pos="881" w:val="left" w:leader="none"/>
        </w:tabs>
        <w:spacing w:line="240" w:lineRule="auto" w:before="21" w:after="0"/>
        <w:ind w:left="880" w:right="0" w:hanging="360"/>
        <w:jc w:val="left"/>
        <w:rPr>
          <w:rFonts w:ascii="Symbol" w:hAnsi="Symbol"/>
          <w:color w:val="6C6362"/>
          <w:sz w:val="22"/>
        </w:rPr>
      </w:pPr>
      <w:r>
        <w:rPr>
          <w:color w:val="6C6362"/>
          <w:sz w:val="22"/>
        </w:rPr>
        <w:t>Joint Stock Companies; Reorganization; Employee</w:t>
      </w:r>
      <w:r>
        <w:rPr>
          <w:color w:val="6C6362"/>
          <w:spacing w:val="-7"/>
          <w:sz w:val="22"/>
        </w:rPr>
        <w:t> </w:t>
      </w:r>
      <w:r>
        <w:rPr>
          <w:color w:val="6C6362"/>
          <w:sz w:val="22"/>
        </w:rPr>
        <w:t>Rights</w:t>
      </w:r>
    </w:p>
    <w:p>
      <w:pPr>
        <w:pStyle w:val="BodyText"/>
        <w:spacing w:before="7"/>
        <w:rPr>
          <w:sz w:val="25"/>
        </w:rPr>
      </w:pPr>
    </w:p>
    <w:p>
      <w:pPr>
        <w:pStyle w:val="BodyText"/>
        <w:spacing w:line="256" w:lineRule="auto"/>
        <w:ind w:left="520" w:right="1187"/>
      </w:pPr>
      <w:r>
        <w:rPr>
          <w:color w:val="767070"/>
        </w:rPr>
        <w:t>PRP held an event to present the ECHR Case Summaries to the public. Attendees included many judges; legal professionals; legal scholars; and CSO counterparts. The USAID Acting Deputy Mission</w:t>
      </w:r>
    </w:p>
    <w:p>
      <w:pPr>
        <w:spacing w:after="0" w:line="256" w:lineRule="auto"/>
        <w:sectPr>
          <w:footerReference w:type="default" r:id="rId70"/>
          <w:pgSz w:w="11910" w:h="16840"/>
          <w:pgMar w:footer="720" w:header="0" w:top="0" w:bottom="900" w:left="920" w:right="340"/>
        </w:sectPr>
      </w:pPr>
    </w:p>
    <w:p>
      <w:pPr>
        <w:pStyle w:val="BodyText"/>
        <w:spacing w:line="259" w:lineRule="auto" w:before="80"/>
        <w:ind w:left="520" w:right="1337"/>
      </w:pPr>
      <w:r>
        <w:rPr>
          <w:color w:val="767070"/>
        </w:rPr>
        <w:t>Director and the President of the Supreme Court made remarks, along with one of the three experts and one of the interns. PRP distributed digital versions of the case summaries in branded USB flash drives, as well the hard copies of the book.</w:t>
      </w:r>
    </w:p>
    <w:p>
      <w:pPr>
        <w:pStyle w:val="BodyText"/>
        <w:spacing w:before="8"/>
        <w:rPr>
          <w:sz w:val="23"/>
        </w:rPr>
      </w:pPr>
    </w:p>
    <w:p>
      <w:pPr>
        <w:pStyle w:val="BodyText"/>
        <w:spacing w:line="259" w:lineRule="auto"/>
        <w:ind w:left="520" w:right="1337"/>
      </w:pPr>
      <w:r>
        <w:rPr>
          <w:color w:val="767070"/>
        </w:rPr>
        <w:t>PRP has commenced distributing copies to the courts, the Kosovo Bar Association, Ministries and Agencies, municipal administrations and libraries. The Kosovo Supreme Court and Kosovo Judicial Academy have posted digital versions of the ECHR Case Summaries on their web sites, at the following links:</w:t>
      </w:r>
    </w:p>
    <w:p>
      <w:pPr>
        <w:pStyle w:val="BodyText"/>
        <w:spacing w:before="6"/>
        <w:rPr>
          <w:sz w:val="23"/>
        </w:rPr>
      </w:pPr>
    </w:p>
    <w:p>
      <w:pPr>
        <w:pStyle w:val="BodyText"/>
        <w:ind w:left="520"/>
      </w:pPr>
      <w:hyperlink r:id="rId19">
        <w:r>
          <w:rPr>
            <w:color w:val="2D74B5"/>
            <w:u w:val="single" w:color="2D74B5"/>
          </w:rPr>
          <w:t>http://jus.igjk.rks-gov.net/774/</w:t>
        </w:r>
      </w:hyperlink>
    </w:p>
    <w:p>
      <w:pPr>
        <w:pStyle w:val="BodyText"/>
        <w:spacing w:before="21"/>
        <w:ind w:left="520"/>
      </w:pPr>
      <w:hyperlink r:id="rId20">
        <w:r>
          <w:rPr>
            <w:color w:val="2D74B5"/>
            <w:u w:val="single" w:color="2D74B5"/>
          </w:rPr>
          <w:t>http://www.gjyqesori-rks.org/sq/courts/report/list?id=1&amp;type=1</w:t>
        </w:r>
      </w:hyperlink>
    </w:p>
    <w:p>
      <w:pPr>
        <w:pStyle w:val="BodyText"/>
        <w:rPr>
          <w:sz w:val="20"/>
        </w:rPr>
      </w:pPr>
    </w:p>
    <w:p>
      <w:pPr>
        <w:pStyle w:val="BodyText"/>
        <w:spacing w:before="9"/>
        <w:rPr>
          <w:sz w:val="27"/>
        </w:rPr>
      </w:pPr>
    </w:p>
    <w:p>
      <w:pPr>
        <w:spacing w:after="0"/>
        <w:rPr>
          <w:sz w:val="27"/>
        </w:rPr>
        <w:sectPr>
          <w:pgSz w:w="11910" w:h="16840"/>
          <w:pgMar w:header="0" w:footer="720" w:top="1320" w:bottom="900" w:left="920" w:right="340"/>
        </w:sectPr>
      </w:pPr>
    </w:p>
    <w:p>
      <w:pPr>
        <w:spacing w:before="101"/>
        <w:ind w:left="520" w:right="0" w:firstLine="0"/>
        <w:jc w:val="left"/>
        <w:rPr>
          <w:b/>
          <w:sz w:val="28"/>
        </w:rPr>
      </w:pPr>
      <w:r>
        <w:rPr>
          <w:b/>
          <w:color w:val="B90C2E"/>
          <w:sz w:val="28"/>
        </w:rPr>
        <w:t>CONTACTS</w:t>
      </w:r>
    </w:p>
    <w:p>
      <w:pPr>
        <w:pStyle w:val="Heading5"/>
        <w:spacing w:before="151"/>
        <w:ind w:left="520"/>
      </w:pPr>
      <w:r>
        <w:rPr>
          <w:color w:val="6C6362"/>
        </w:rPr>
        <w:t>MISSION</w:t>
      </w:r>
    </w:p>
    <w:p>
      <w:pPr>
        <w:pStyle w:val="BodyText"/>
        <w:spacing w:before="9"/>
        <w:rPr>
          <w:b/>
          <w:sz w:val="20"/>
        </w:rPr>
      </w:pPr>
    </w:p>
    <w:p>
      <w:pPr>
        <w:pStyle w:val="BodyText"/>
        <w:ind w:left="520" w:right="357"/>
      </w:pPr>
      <w:r>
        <w:rPr>
          <w:color w:val="6C6362"/>
        </w:rPr>
        <w:t>Arberia (Dragodan) Pristina, Kosovo, 10130</w:t>
      </w:r>
    </w:p>
    <w:p>
      <w:pPr>
        <w:pStyle w:val="BodyText"/>
        <w:spacing w:line="253" w:lineRule="exact"/>
        <w:ind w:left="520"/>
      </w:pPr>
      <w:r>
        <w:rPr>
          <w:color w:val="6C6362"/>
        </w:rPr>
        <w:t>Tel: +381 (0)38 59 59 2000</w:t>
      </w:r>
    </w:p>
    <w:p>
      <w:pPr>
        <w:pStyle w:val="BodyText"/>
        <w:spacing w:line="255" w:lineRule="exact"/>
        <w:ind w:left="520"/>
      </w:pPr>
      <w:r>
        <w:rPr>
          <w:color w:val="6C6362"/>
        </w:rPr>
        <w:t>Fax: +381 (0)38 249 493</w:t>
      </w:r>
    </w:p>
    <w:p>
      <w:pPr>
        <w:pStyle w:val="BodyText"/>
        <w:spacing w:before="2"/>
        <w:ind w:left="520"/>
      </w:pPr>
      <w:hyperlink r:id="rId74">
        <w:r>
          <w:rPr>
            <w:color w:val="6C6362"/>
            <w:u w:val="single" w:color="6C6362"/>
          </w:rPr>
          <w:t>www.usaid.gov/kosovo</w:t>
        </w:r>
      </w:hyperlink>
    </w:p>
    <w:p>
      <w:pPr>
        <w:pStyle w:val="BodyText"/>
        <w:rPr>
          <w:sz w:val="26"/>
        </w:rPr>
      </w:pPr>
      <w:r>
        <w:rPr/>
        <w:br w:type="column"/>
      </w:r>
      <w:r>
        <w:rPr>
          <w:sz w:val="26"/>
        </w:rPr>
      </w:r>
    </w:p>
    <w:p>
      <w:pPr>
        <w:pStyle w:val="BodyText"/>
        <w:spacing w:before="8"/>
        <w:rPr>
          <w:sz w:val="23"/>
        </w:rPr>
      </w:pPr>
    </w:p>
    <w:p>
      <w:pPr>
        <w:pStyle w:val="Heading5"/>
        <w:ind w:left="520"/>
      </w:pPr>
      <w:r>
        <w:rPr>
          <w:color w:val="6C6362"/>
        </w:rPr>
        <w:t>HEADQUARTERS</w:t>
      </w:r>
    </w:p>
    <w:p>
      <w:pPr>
        <w:pStyle w:val="BodyText"/>
        <w:spacing w:before="10"/>
        <w:rPr>
          <w:b/>
          <w:sz w:val="20"/>
        </w:rPr>
      </w:pPr>
    </w:p>
    <w:p>
      <w:pPr>
        <w:pStyle w:val="BodyText"/>
        <w:ind w:left="520" w:right="1387"/>
      </w:pPr>
      <w:r>
        <w:rPr>
          <w:color w:val="6C6362"/>
        </w:rPr>
        <w:t>U.S. Agency for International Development 1300 Pennsylvania Avenue, NW Washington, DC, USA 20523</w:t>
      </w:r>
      <w:r>
        <w:rPr>
          <w:color w:val="6C6362"/>
          <w:u w:val="single" w:color="6C6362"/>
        </w:rPr>
        <w:t> </w:t>
      </w:r>
      <w:hyperlink r:id="rId75">
        <w:r>
          <w:rPr>
            <w:color w:val="6C6362"/>
            <w:u w:val="single" w:color="6C6362"/>
          </w:rPr>
          <w:t>www.usaid.gov</w:t>
        </w:r>
      </w:hyperlink>
    </w:p>
    <w:p>
      <w:pPr>
        <w:spacing w:after="0"/>
        <w:sectPr>
          <w:type w:val="continuous"/>
          <w:pgSz w:w="11910" w:h="16840"/>
          <w:pgMar w:top="980" w:bottom="280" w:left="920" w:right="340"/>
          <w:cols w:num="2" w:equalWidth="0">
            <w:col w:w="3013" w:space="1860"/>
            <w:col w:w="5777"/>
          </w:cols>
        </w:sectPr>
      </w:pPr>
    </w:p>
    <w:p>
      <w:pPr>
        <w:pStyle w:val="Heading3"/>
      </w:pPr>
      <w:bookmarkStart w:name="_bookmark21" w:id="22"/>
      <w:bookmarkEnd w:id="22"/>
      <w:r>
        <w:rPr>
          <w:b w:val="0"/>
        </w:rPr>
      </w:r>
      <w:r>
        <w:rPr>
          <w:color w:val="C21139"/>
        </w:rPr>
        <w:t>PROJECT BRIEF UPDATE</w:t>
      </w:r>
    </w:p>
    <w:p>
      <w:pPr>
        <w:pStyle w:val="BodyText"/>
        <w:spacing w:before="151"/>
        <w:ind w:left="520"/>
      </w:pPr>
      <w:r>
        <w:rPr>
          <w:color w:val="6C6362"/>
        </w:rPr>
        <w:t>The PRP project brief update is provided on the next page.</w:t>
      </w:r>
    </w:p>
    <w:p>
      <w:pPr>
        <w:spacing w:after="0"/>
        <w:sectPr>
          <w:footerReference w:type="default" r:id="rId76"/>
          <w:pgSz w:w="11910" w:h="16840"/>
          <w:pgMar w:footer="720" w:header="0" w:top="1440" w:bottom="900" w:left="920" w:right="340"/>
        </w:sectPr>
      </w:pPr>
    </w:p>
    <w:p>
      <w:pPr>
        <w:pStyle w:val="BodyText"/>
        <w:rPr>
          <w:sz w:val="20"/>
        </w:rPr>
      </w:pPr>
      <w:r>
        <w:rPr/>
        <w:drawing>
          <wp:anchor distT="0" distB="0" distL="0" distR="0" allowOverlap="1" layoutInCell="1" locked="0" behindDoc="1" simplePos="0" relativeHeight="268370279">
            <wp:simplePos x="0" y="0"/>
            <wp:positionH relativeFrom="page">
              <wp:posOffset>2856864</wp:posOffset>
            </wp:positionH>
            <wp:positionV relativeFrom="page">
              <wp:posOffset>0</wp:posOffset>
            </wp:positionV>
            <wp:extent cx="4703699" cy="4251959"/>
            <wp:effectExtent l="0" t="0" r="0" b="0"/>
            <wp:wrapNone/>
            <wp:docPr id="31" name="image35.png" descr=""/>
            <wp:cNvGraphicFramePr>
              <a:graphicFrameLocks noChangeAspect="1"/>
            </wp:cNvGraphicFramePr>
            <a:graphic>
              <a:graphicData uri="http://schemas.openxmlformats.org/drawingml/2006/picture">
                <pic:pic>
                  <pic:nvPicPr>
                    <pic:cNvPr id="32" name="image35.png"/>
                    <pic:cNvPicPr/>
                  </pic:nvPicPr>
                  <pic:blipFill>
                    <a:blip r:embed="rId78" cstate="print"/>
                    <a:stretch>
                      <a:fillRect/>
                    </a:stretch>
                  </pic:blipFill>
                  <pic:spPr>
                    <a:xfrm>
                      <a:off x="0" y="0"/>
                      <a:ext cx="4703699" cy="425195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9" w:after="1"/>
        <w:rPr>
          <w:sz w:val="25"/>
        </w:rPr>
      </w:pPr>
    </w:p>
    <w:p>
      <w:pPr>
        <w:pStyle w:val="BodyText"/>
        <w:ind w:left="202"/>
        <w:rPr>
          <w:sz w:val="20"/>
        </w:rPr>
      </w:pPr>
      <w:r>
        <w:rPr>
          <w:sz w:val="20"/>
        </w:rPr>
        <w:drawing>
          <wp:inline distT="0" distB="0" distL="0" distR="0">
            <wp:extent cx="1938214" cy="580644"/>
            <wp:effectExtent l="0" t="0" r="0" b="0"/>
            <wp:docPr id="33" name="image33.jpeg" descr=""/>
            <wp:cNvGraphicFramePr>
              <a:graphicFrameLocks noChangeAspect="1"/>
            </wp:cNvGraphicFramePr>
            <a:graphic>
              <a:graphicData uri="http://schemas.openxmlformats.org/drawingml/2006/picture">
                <pic:pic>
                  <pic:nvPicPr>
                    <pic:cNvPr id="34" name="image33.jpeg"/>
                    <pic:cNvPicPr/>
                  </pic:nvPicPr>
                  <pic:blipFill>
                    <a:blip r:embed="rId72" cstate="print"/>
                    <a:stretch>
                      <a:fillRect/>
                    </a:stretch>
                  </pic:blipFill>
                  <pic:spPr>
                    <a:xfrm>
                      <a:off x="0" y="0"/>
                      <a:ext cx="1938214" cy="58064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1"/>
        <w:spacing w:before="101"/>
        <w:ind w:right="2657"/>
      </w:pPr>
      <w:r>
        <w:rPr>
          <w:color w:val="C21139"/>
          <w:spacing w:val="-5"/>
        </w:rPr>
        <w:t>PROJECT </w:t>
      </w:r>
      <w:r>
        <w:rPr>
          <w:color w:val="C21139"/>
        </w:rPr>
        <w:t>BRIEF </w:t>
      </w:r>
      <w:r>
        <w:rPr>
          <w:color w:val="C21139"/>
          <w:spacing w:val="-15"/>
        </w:rPr>
        <w:t>UPDATE </w:t>
      </w:r>
      <w:r>
        <w:rPr>
          <w:color w:val="7E7E7E"/>
          <w:spacing w:val="-18"/>
        </w:rPr>
        <w:t>KOSOVO </w:t>
      </w:r>
      <w:r>
        <w:rPr>
          <w:color w:val="7E7E7E"/>
          <w:spacing w:val="-11"/>
        </w:rPr>
        <w:t>PROPERTY </w:t>
      </w:r>
      <w:r>
        <w:rPr>
          <w:color w:val="7E7E7E"/>
        </w:rPr>
        <w:t>RIGHTS </w:t>
      </w:r>
      <w:r>
        <w:rPr>
          <w:color w:val="7E7E7E"/>
          <w:spacing w:val="-5"/>
        </w:rPr>
        <w:t>PROGRAM </w:t>
      </w:r>
      <w:r>
        <w:rPr>
          <w:color w:val="7E7E7E"/>
        </w:rPr>
        <w:t>(PRP)</w:t>
      </w:r>
    </w:p>
    <w:p>
      <w:pPr>
        <w:pStyle w:val="Heading2"/>
        <w:spacing w:line="240" w:lineRule="auto" w:before="252"/>
        <w:ind w:left="520" w:right="1159"/>
      </w:pPr>
      <w:r>
        <w:rPr/>
        <w:drawing>
          <wp:anchor distT="0" distB="0" distL="0" distR="0" allowOverlap="1" layoutInCell="1" locked="0" behindDoc="0" simplePos="0" relativeHeight="2008">
            <wp:simplePos x="0" y="0"/>
            <wp:positionH relativeFrom="page">
              <wp:posOffset>7136638</wp:posOffset>
            </wp:positionH>
            <wp:positionV relativeFrom="paragraph">
              <wp:posOffset>1434642</wp:posOffset>
            </wp:positionV>
            <wp:extent cx="138684" cy="2412492"/>
            <wp:effectExtent l="0" t="0" r="0" b="0"/>
            <wp:wrapNone/>
            <wp:docPr id="35" name="image34.png" descr=""/>
            <wp:cNvGraphicFramePr>
              <a:graphicFrameLocks noChangeAspect="1"/>
            </wp:cNvGraphicFramePr>
            <a:graphic>
              <a:graphicData uri="http://schemas.openxmlformats.org/drawingml/2006/picture">
                <pic:pic>
                  <pic:nvPicPr>
                    <pic:cNvPr id="36" name="image34.png"/>
                    <pic:cNvPicPr/>
                  </pic:nvPicPr>
                  <pic:blipFill>
                    <a:blip r:embed="rId73" cstate="print"/>
                    <a:stretch>
                      <a:fillRect/>
                    </a:stretch>
                  </pic:blipFill>
                  <pic:spPr>
                    <a:xfrm>
                      <a:off x="0" y="0"/>
                      <a:ext cx="138684" cy="2412492"/>
                    </a:xfrm>
                    <a:prstGeom prst="rect">
                      <a:avLst/>
                    </a:prstGeom>
                  </pic:spPr>
                </pic:pic>
              </a:graphicData>
            </a:graphic>
          </wp:anchor>
        </w:drawing>
      </w:r>
      <w:r>
        <w:rPr>
          <w:color w:val="7E7E7E"/>
        </w:rPr>
        <w:t>The rule of law in Kosovo is constrained by poorly defined and enforced property rights, especially the property rights of women and members of minority communities. The absence of an effective property rights regime weakens democratic governance, impacts human rights, disempowers women and impedes sustainable economic growth.</w:t>
      </w:r>
    </w:p>
    <w:p>
      <w:pPr>
        <w:pStyle w:val="BodyText"/>
        <w:spacing w:line="264" w:lineRule="auto" w:before="403"/>
        <w:ind w:left="520" w:right="1208"/>
      </w:pPr>
      <w:r>
        <w:rPr/>
        <w:pict>
          <v:shape style="position:absolute;margin-left:562.324829pt;margin-top:62.672596pt;width:9pt;height:66.4pt;mso-position-horizontal-relative:page;mso-position-vertical-relative:paragraph;z-index:2032" type="#_x0000_t202" filled="false" stroked="false">
            <v:textbox inset="0,0,0,0" style="layout-flow:vertical;mso-layout-flow-alt:bottom-to-top">
              <w:txbxContent>
                <w:p>
                  <w:pPr>
                    <w:spacing w:before="20"/>
                    <w:ind w:left="20" w:right="0" w:firstLine="0"/>
                    <w:jc w:val="left"/>
                    <w:rPr>
                      <w:sz w:val="12"/>
                    </w:rPr>
                  </w:pPr>
                  <w:r>
                    <w:rPr>
                      <w:color w:val="6C6362"/>
                      <w:sz w:val="12"/>
                    </w:rPr>
                    <w:t>D. CUIZON / USAID PRP</w:t>
                  </w:r>
                </w:p>
              </w:txbxContent>
            </v:textbox>
            <w10:wrap type="none"/>
          </v:shape>
        </w:pict>
      </w:r>
      <w:r>
        <w:rPr>
          <w:color w:val="7E7E7E"/>
        </w:rPr>
        <w:t>The overall goal of the program is to improve the property rights regime in Kosovo, strengthen the rule of law, and increase economic growth and investment. The Property Rights Program (PRP) is implemented under four objectives:</w:t>
      </w:r>
    </w:p>
    <w:p>
      <w:pPr>
        <w:pStyle w:val="BodyText"/>
        <w:spacing w:before="6"/>
        <w:rPr>
          <w:sz w:val="20"/>
        </w:rPr>
      </w:pPr>
    </w:p>
    <w:p>
      <w:pPr>
        <w:pStyle w:val="BodyText"/>
        <w:ind w:left="520"/>
      </w:pPr>
      <w:r>
        <w:rPr>
          <w:color w:val="7E7E7E"/>
        </w:rPr>
        <w:t>Objective 1: Better Coordination and Policy Priorities</w:t>
      </w:r>
    </w:p>
    <w:p>
      <w:pPr>
        <w:pStyle w:val="BodyText"/>
        <w:spacing w:before="10"/>
      </w:pPr>
    </w:p>
    <w:p>
      <w:pPr>
        <w:pStyle w:val="BodyText"/>
        <w:spacing w:line="489" w:lineRule="auto" w:before="1"/>
        <w:ind w:left="520" w:right="3913"/>
      </w:pPr>
      <w:r>
        <w:rPr>
          <w:color w:val="7E7E7E"/>
        </w:rPr>
        <w:t>Objective 2: Improved Court Procedures Related to Property Claims Objective 3: Enhance Women’s Rights to Use Property in Practice</w:t>
      </w:r>
    </w:p>
    <w:p>
      <w:pPr>
        <w:pStyle w:val="BodyText"/>
        <w:spacing w:line="254" w:lineRule="exact"/>
        <w:ind w:left="520"/>
      </w:pPr>
      <w:r>
        <w:rPr>
          <w:color w:val="7E7E7E"/>
        </w:rPr>
        <w:t>Objective 4: Improved Communication, Access to Information and Understanding of Property Rights</w:t>
      </w:r>
    </w:p>
    <w:p>
      <w:pPr>
        <w:spacing w:after="0" w:line="254" w:lineRule="exact"/>
        <w:sectPr>
          <w:footerReference w:type="default" r:id="rId77"/>
          <w:pgSz w:w="11910" w:h="16840"/>
          <w:pgMar w:footer="720" w:header="0" w:top="0" w:bottom="900" w:left="920" w:right="340"/>
        </w:sectPr>
      </w:pPr>
    </w:p>
    <w:p>
      <w:pPr>
        <w:spacing w:before="72"/>
        <w:ind w:left="520" w:right="0" w:firstLine="0"/>
        <w:jc w:val="left"/>
        <w:rPr>
          <w:b/>
          <w:sz w:val="28"/>
        </w:rPr>
      </w:pPr>
      <w:r>
        <w:rPr>
          <w:b/>
          <w:color w:val="B90C2E"/>
          <w:sz w:val="28"/>
        </w:rPr>
        <w:t>OUR WORK</w:t>
      </w:r>
    </w:p>
    <w:p>
      <w:pPr>
        <w:pStyle w:val="BodyText"/>
        <w:spacing w:before="271"/>
        <w:ind w:left="520"/>
      </w:pPr>
      <w:r>
        <w:rPr>
          <w:color w:val="6C6362"/>
        </w:rPr>
        <w:t>This Quarter saw PRP advance its initiatives significantly under all four Objectives.</w:t>
      </w:r>
    </w:p>
    <w:p>
      <w:pPr>
        <w:pStyle w:val="BodyText"/>
        <w:spacing w:before="10"/>
      </w:pPr>
    </w:p>
    <w:p>
      <w:pPr>
        <w:pStyle w:val="BodyText"/>
        <w:spacing w:line="264" w:lineRule="auto" w:before="1"/>
        <w:ind w:left="520" w:right="1131"/>
      </w:pPr>
      <w:r>
        <w:rPr>
          <w:b/>
          <w:color w:val="767070"/>
        </w:rPr>
        <w:t>Objective 1: </w:t>
      </w:r>
      <w:r>
        <w:rPr>
          <w:color w:val="767070"/>
        </w:rPr>
        <w:t>PRP has continued to work with GoK partner institutions to develop the legislation necessary to implement the National Strategy on Property Rights, which the GoK developed with PRP support. The GoK adopted the National Strategy in January 2017. </w:t>
      </w:r>
      <w:r>
        <w:rPr>
          <w:color w:val="6C6362"/>
        </w:rPr>
        <w:t>To date, action has been taken on 89% of the pieces of legislation contemplated by the three-year NSPR Action Plan, and the Government has begun implementing 66% of measures called for by the Action Plan. Activities are being implemented on time cross all five NSPR objectives. A total of 12 </w:t>
      </w:r>
      <w:r>
        <w:rPr>
          <w:color w:val="767070"/>
        </w:rPr>
        <w:t>pieces of draft legislation are currently under development, including the Law on Public Property; the Law on Construction Land; the Law on Sale of the Apartments in which a Tenure Right Exists; the Law on Cadastre; and the Concept Document on the Transformation of Socially Owned Property.</w:t>
      </w:r>
    </w:p>
    <w:p>
      <w:pPr>
        <w:pStyle w:val="BodyText"/>
        <w:spacing w:before="2"/>
        <w:rPr>
          <w:sz w:val="20"/>
        </w:rPr>
      </w:pPr>
    </w:p>
    <w:p>
      <w:pPr>
        <w:pStyle w:val="BodyText"/>
        <w:spacing w:line="264" w:lineRule="auto"/>
        <w:ind w:left="520" w:right="1297"/>
      </w:pPr>
      <w:r>
        <w:rPr>
          <w:color w:val="767070"/>
        </w:rPr>
        <w:t>In addition, Parliament is currently reviewing the “Inheritance Package” of legislation; the draft Law on the Kosovo Comparison and Verification Agency; and the Draft Law on Allocation for the Use and Exchange of Municipal Property.</w:t>
      </w:r>
    </w:p>
    <w:p>
      <w:pPr>
        <w:pStyle w:val="BodyText"/>
        <w:spacing w:before="6"/>
        <w:rPr>
          <w:sz w:val="20"/>
        </w:rPr>
      </w:pPr>
    </w:p>
    <w:p>
      <w:pPr>
        <w:pStyle w:val="BodyText"/>
        <w:spacing w:before="1"/>
        <w:ind w:left="520"/>
      </w:pPr>
      <w:r>
        <w:rPr>
          <w:color w:val="767070"/>
        </w:rPr>
        <w:t>PRP has also produced and disseminated its Albanian translation of European valuation standards.</w:t>
      </w:r>
    </w:p>
    <w:p>
      <w:pPr>
        <w:pStyle w:val="BodyText"/>
        <w:spacing w:before="10"/>
      </w:pPr>
    </w:p>
    <w:p>
      <w:pPr>
        <w:pStyle w:val="BodyText"/>
        <w:spacing w:line="264" w:lineRule="auto"/>
        <w:ind w:left="520" w:right="1102"/>
      </w:pPr>
      <w:r>
        <w:rPr>
          <w:b/>
          <w:color w:val="767070"/>
        </w:rPr>
        <w:t>Objective 2: </w:t>
      </w:r>
      <w:r>
        <w:rPr>
          <w:color w:val="767070"/>
        </w:rPr>
        <w:t>The caseflow management (CFM) reforms PRP has been piloting in its three Courts of Merit (CoM) continue to increase significantly the number of decisions that the courts are taking and are also enabling them to address cases that have been delayed or neglected (i.e., backlogged cases – cases that have been on the docket for over two years). Thus, the improved CFM practices have increased the courts’ ability to deal effectively with their caseloads and prevent significant backlogs from arising.</w:t>
      </w:r>
    </w:p>
    <w:p>
      <w:pPr>
        <w:pStyle w:val="BodyText"/>
        <w:spacing w:before="5"/>
        <w:rPr>
          <w:sz w:val="20"/>
        </w:rPr>
      </w:pPr>
    </w:p>
    <w:p>
      <w:pPr>
        <w:pStyle w:val="BodyText"/>
        <w:spacing w:line="264" w:lineRule="auto"/>
        <w:ind w:left="520" w:right="1259"/>
      </w:pPr>
      <w:r>
        <w:rPr>
          <w:color w:val="767070"/>
        </w:rPr>
        <w:t>In addition, PRP is moving forward with its initiative with the Supreme Court to assist the Supreme Court to develop guidelines on judicial practice in the area of property rights, in the key areas identified by PRP in its work with courts of first instance.</w:t>
      </w:r>
    </w:p>
    <w:p>
      <w:pPr>
        <w:pStyle w:val="BodyText"/>
        <w:spacing w:before="5"/>
        <w:rPr>
          <w:sz w:val="23"/>
        </w:rPr>
      </w:pPr>
    </w:p>
    <w:p>
      <w:pPr>
        <w:pStyle w:val="BodyText"/>
        <w:spacing w:line="264" w:lineRule="auto"/>
        <w:ind w:left="520" w:right="1201"/>
      </w:pPr>
      <w:r>
        <w:rPr>
          <w:color w:val="767070"/>
        </w:rPr>
        <w:t>Furthermore, PRP has succeeded in using an initiative to extend the general mandate of the Kosovo Property Comparison and Verification Agency (KPCVA) to include draft amendments giving the KPCVA the authority to formalize informal property rights acquired through informal transactions occurring prior to 1999. The amendments to the Law on the KPCVA are in Parliament.</w:t>
      </w:r>
    </w:p>
    <w:p>
      <w:pPr>
        <w:pStyle w:val="BodyText"/>
        <w:spacing w:before="6"/>
        <w:rPr>
          <w:sz w:val="20"/>
        </w:rPr>
      </w:pPr>
    </w:p>
    <w:p>
      <w:pPr>
        <w:pStyle w:val="BodyText"/>
        <w:spacing w:line="264" w:lineRule="auto" w:before="1"/>
        <w:ind w:left="520" w:right="1591"/>
      </w:pPr>
      <w:r>
        <w:rPr>
          <w:color w:val="767070"/>
        </w:rPr>
        <w:t>Moreover, PRP produced it 700-page volume, in Albanian and Serbian, of summaries of 144 key decisions of the European Court of Human Rights that concern property rights.</w:t>
      </w:r>
    </w:p>
    <w:p>
      <w:pPr>
        <w:pStyle w:val="BodyText"/>
        <w:spacing w:before="5"/>
        <w:rPr>
          <w:sz w:val="20"/>
        </w:rPr>
      </w:pPr>
    </w:p>
    <w:p>
      <w:pPr>
        <w:pStyle w:val="BodyText"/>
        <w:spacing w:line="264" w:lineRule="auto" w:before="1"/>
        <w:ind w:left="520" w:right="1181"/>
      </w:pPr>
      <w:r>
        <w:rPr>
          <w:b/>
          <w:color w:val="767070"/>
        </w:rPr>
        <w:t>Objective 3: </w:t>
      </w:r>
      <w:r>
        <w:rPr>
          <w:color w:val="6C6362"/>
        </w:rPr>
        <w:t>PRP’s National Survey on Property Rights demonstrates that PRP’s media campaign has sparked debate and discussion in Kosovo concerning women’s property rights (which was reportedly a taboo subject previously) and is producing positive changes in social attitudes and behaviors. PRP is continuing its national media campaign and grassroots public outreach activities on women’s property rights to reinforce these trends. PRP also provides technical assistance to USAID’s E4E partner and E4E sub-grantees (Civil Society Organizations (CSOs)) to develop and implement activities aimed at supporting women’s property rights and to complement PRP’s public outreach activities. In addition, PRP has completed preparations for the third and final (Endline) National Survey on Property Rights.</w:t>
      </w:r>
    </w:p>
    <w:p>
      <w:pPr>
        <w:spacing w:after="0" w:line="264" w:lineRule="auto"/>
        <w:sectPr>
          <w:pgSz w:w="11910" w:h="16840"/>
          <w:pgMar w:header="0" w:footer="720" w:top="1320" w:bottom="900" w:left="920" w:right="340"/>
        </w:sectPr>
      </w:pPr>
    </w:p>
    <w:p>
      <w:pPr>
        <w:pStyle w:val="BodyText"/>
        <w:spacing w:line="264" w:lineRule="auto" w:before="84"/>
        <w:ind w:left="520" w:right="1101"/>
      </w:pPr>
      <w:r>
        <w:rPr>
          <w:b/>
          <w:color w:val="767070"/>
        </w:rPr>
        <w:t>Objective 4: </w:t>
      </w:r>
      <w:r>
        <w:rPr>
          <w:color w:val="6C6362"/>
        </w:rPr>
        <w:t>PRP has moved forward a number of initiatives that are designed to improve municipal governments’ services to their citizens. PRP has completed its series of five regional workshops </w:t>
      </w:r>
      <w:r>
        <w:rPr>
          <w:color w:val="767070"/>
        </w:rPr>
        <w:t>for Municipal Cadastral Offices (MCO’s) that are designed to focus their attention and foster constructive discussion on specific challenges and problematic issues affecting property registration. Officials from 30 municipalities took active part in the workshops. PRP has continued its support to address a significant backlog of un-registered cadastral files; and is moving forward with installing second-generation e-kiosks in four additional municipalities that issues property rights documents, PRP also completed its research and analysis and has identified six municipalities that PRP will assist with leasing municipal land to the private sector.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after="0"/>
        <w:rPr>
          <w:sz w:val="18"/>
        </w:rPr>
        <w:sectPr>
          <w:pgSz w:w="11910" w:h="16840"/>
          <w:pgMar w:header="0" w:footer="720" w:top="1340" w:bottom="900" w:left="920" w:right="340"/>
        </w:sectPr>
      </w:pPr>
    </w:p>
    <w:p>
      <w:pPr>
        <w:spacing w:before="100"/>
        <w:ind w:left="520" w:right="0" w:firstLine="0"/>
        <w:jc w:val="left"/>
        <w:rPr>
          <w:b/>
          <w:sz w:val="28"/>
        </w:rPr>
      </w:pPr>
      <w:r>
        <w:rPr>
          <w:b/>
          <w:color w:val="B90C2E"/>
          <w:sz w:val="28"/>
        </w:rPr>
        <w:t>CONTACTS</w:t>
      </w:r>
    </w:p>
    <w:p>
      <w:pPr>
        <w:pStyle w:val="BodyText"/>
        <w:spacing w:before="11"/>
        <w:rPr>
          <w:b/>
          <w:sz w:val="33"/>
        </w:rPr>
      </w:pPr>
    </w:p>
    <w:p>
      <w:pPr>
        <w:pStyle w:val="Heading5"/>
        <w:ind w:left="520"/>
      </w:pPr>
      <w:r>
        <w:rPr>
          <w:color w:val="6C6362"/>
        </w:rPr>
        <w:t>MISSION</w:t>
      </w:r>
    </w:p>
    <w:p>
      <w:pPr>
        <w:pStyle w:val="BodyText"/>
        <w:spacing w:before="120"/>
        <w:ind w:left="520" w:right="358"/>
      </w:pPr>
      <w:r>
        <w:rPr>
          <w:color w:val="6C6362"/>
        </w:rPr>
        <w:t>Arberia (Dragodan) Pristina, Kosovo, 10130</w:t>
      </w:r>
    </w:p>
    <w:p>
      <w:pPr>
        <w:pStyle w:val="BodyText"/>
        <w:spacing w:line="255" w:lineRule="exact"/>
        <w:ind w:left="520"/>
      </w:pPr>
      <w:r>
        <w:rPr>
          <w:color w:val="6C6362"/>
        </w:rPr>
        <w:t>Tel: +381 (0)38 59 59 2000</w:t>
      </w:r>
    </w:p>
    <w:p>
      <w:pPr>
        <w:pStyle w:val="BodyText"/>
        <w:spacing w:line="255" w:lineRule="exact"/>
        <w:ind w:left="520"/>
      </w:pPr>
      <w:r>
        <w:rPr>
          <w:color w:val="6C6362"/>
        </w:rPr>
        <w:t>Fax: +381 (0)38 249 493</w:t>
      </w:r>
    </w:p>
    <w:p>
      <w:pPr>
        <w:pStyle w:val="BodyText"/>
        <w:spacing w:before="2"/>
        <w:ind w:left="520"/>
      </w:pPr>
      <w:hyperlink r:id="rId74">
        <w:r>
          <w:rPr>
            <w:color w:val="6C6362"/>
            <w:u w:val="single" w:color="6C6362"/>
          </w:rPr>
          <w:t>www.usaid.gov/kosovo</w:t>
        </w:r>
      </w:hyperlink>
    </w:p>
    <w:p>
      <w:pPr>
        <w:pStyle w:val="BodyText"/>
        <w:rPr>
          <w:sz w:val="26"/>
        </w:rPr>
      </w:pPr>
      <w:r>
        <w:rPr/>
        <w:br w:type="column"/>
      </w:r>
      <w:r>
        <w:rPr>
          <w:sz w:val="26"/>
        </w:rPr>
      </w:r>
    </w:p>
    <w:p>
      <w:pPr>
        <w:pStyle w:val="BodyText"/>
        <w:spacing w:before="6"/>
        <w:rPr>
          <w:sz w:val="37"/>
        </w:rPr>
      </w:pPr>
    </w:p>
    <w:p>
      <w:pPr>
        <w:pStyle w:val="Heading5"/>
        <w:ind w:left="520"/>
      </w:pPr>
      <w:r>
        <w:rPr>
          <w:color w:val="6C6362"/>
        </w:rPr>
        <w:t>HEADQUARTERS</w:t>
      </w:r>
    </w:p>
    <w:p>
      <w:pPr>
        <w:pStyle w:val="BodyText"/>
        <w:spacing w:before="10"/>
        <w:rPr>
          <w:b/>
          <w:sz w:val="20"/>
        </w:rPr>
      </w:pPr>
    </w:p>
    <w:p>
      <w:pPr>
        <w:pStyle w:val="BodyText"/>
        <w:ind w:left="520" w:right="1387"/>
      </w:pPr>
      <w:r>
        <w:rPr>
          <w:color w:val="6C6362"/>
        </w:rPr>
        <w:t>U.S. Agency for International Development 1300 Pennsylvania Avenue, NW Washington, DC, USA 20523</w:t>
      </w:r>
      <w:r>
        <w:rPr>
          <w:color w:val="6C6362"/>
          <w:u w:val="single" w:color="6C6362"/>
        </w:rPr>
        <w:t> </w:t>
      </w:r>
      <w:hyperlink r:id="rId75">
        <w:r>
          <w:rPr>
            <w:color w:val="6C6362"/>
            <w:u w:val="single" w:color="6C6362"/>
          </w:rPr>
          <w:t>www.usaid.gov</w:t>
        </w:r>
      </w:hyperlink>
    </w:p>
    <w:p>
      <w:pPr>
        <w:spacing w:after="0"/>
        <w:sectPr>
          <w:type w:val="continuous"/>
          <w:pgSz w:w="11910" w:h="16840"/>
          <w:pgMar w:top="980" w:bottom="280" w:left="920" w:right="340"/>
          <w:cols w:num="2" w:equalWidth="0">
            <w:col w:w="3014" w:space="1859"/>
            <w:col w:w="5777"/>
          </w:cols>
        </w:sectPr>
      </w:pPr>
    </w:p>
    <w:p>
      <w:pPr>
        <w:pStyle w:val="Heading3"/>
        <w:spacing w:before="172"/>
      </w:pPr>
      <w:bookmarkStart w:name="_bookmark22" w:id="23"/>
      <w:bookmarkEnd w:id="23"/>
      <w:r>
        <w:rPr>
          <w:b w:val="0"/>
        </w:rPr>
      </w:r>
      <w:r>
        <w:rPr>
          <w:color w:val="C21139"/>
        </w:rPr>
        <w:t>MEDIA</w:t>
      </w:r>
    </w:p>
    <w:p>
      <w:pPr>
        <w:pStyle w:val="BodyText"/>
        <w:spacing w:before="11"/>
        <w:rPr>
          <w:b/>
          <w:sz w:val="35"/>
        </w:rPr>
      </w:pPr>
    </w:p>
    <w:p>
      <w:pPr>
        <w:spacing w:before="0"/>
        <w:ind w:left="520" w:right="0" w:firstLine="0"/>
        <w:jc w:val="left"/>
        <w:rPr>
          <w:b/>
          <w:sz w:val="20"/>
        </w:rPr>
      </w:pPr>
      <w:bookmarkStart w:name="_bookmark23" w:id="24"/>
      <w:bookmarkEnd w:id="24"/>
      <w:r>
        <w:rPr/>
      </w:r>
      <w:r>
        <w:rPr>
          <w:b/>
          <w:sz w:val="20"/>
        </w:rPr>
        <w:t>PUBLICATIONS</w:t>
      </w:r>
    </w:p>
    <w:p>
      <w:pPr>
        <w:pStyle w:val="BodyText"/>
        <w:spacing w:before="143"/>
        <w:ind w:left="520"/>
      </w:pPr>
      <w:r>
        <w:rPr>
          <w:color w:val="6C6362"/>
        </w:rPr>
        <w:t>The following print and digital publications covered PRP Activities this quarter.</w:t>
      </w:r>
    </w:p>
    <w:p>
      <w:pPr>
        <w:pStyle w:val="BodyText"/>
        <w:spacing w:before="10"/>
        <w:rPr>
          <w:sz w:val="20"/>
        </w:rPr>
      </w:pPr>
    </w:p>
    <w:p>
      <w:pPr>
        <w:spacing w:before="0"/>
        <w:ind w:left="520" w:right="0" w:firstLine="0"/>
        <w:jc w:val="left"/>
        <w:rPr>
          <w:b/>
          <w:i/>
          <w:sz w:val="22"/>
        </w:rPr>
      </w:pPr>
      <w:r>
        <w:rPr>
          <w:b/>
          <w:i/>
          <w:color w:val="6C6362"/>
          <w:sz w:val="22"/>
        </w:rPr>
        <w:t>Kallxo.com</w:t>
      </w:r>
    </w:p>
    <w:p>
      <w:pPr>
        <w:pStyle w:val="BodyText"/>
        <w:spacing w:before="10"/>
        <w:rPr>
          <w:b/>
          <w:i/>
          <w:sz w:val="21"/>
        </w:rPr>
      </w:pPr>
    </w:p>
    <w:p>
      <w:pPr>
        <w:spacing w:line="240" w:lineRule="auto" w:before="0"/>
        <w:ind w:left="520" w:right="1524" w:firstLine="0"/>
        <w:jc w:val="left"/>
        <w:rPr>
          <w:i/>
          <w:sz w:val="22"/>
        </w:rPr>
      </w:pPr>
      <w:r>
        <w:rPr>
          <w:color w:val="6C6362"/>
          <w:sz w:val="22"/>
        </w:rPr>
        <w:t>‘144 cases of European Court decisions are translated into Albanian and Serbian’ </w:t>
      </w:r>
      <w:r>
        <w:rPr>
          <w:rFonts w:ascii="Times New Roman" w:hAnsi="Times New Roman"/>
          <w:i/>
          <w:color w:val="808080"/>
          <w:sz w:val="22"/>
          <w:u w:val="single" w:color="808080"/>
        </w:rPr>
        <w:t>https://kallxo.com/perkthehen-ne-shqip-e-serbisht-144-raste-te-vendimeve-te-gjykates-europiane/</w:t>
      </w:r>
      <w:r>
        <w:rPr>
          <w:rFonts w:ascii="Times New Roman" w:hAnsi="Times New Roman"/>
          <w:i/>
          <w:color w:val="808080"/>
          <w:sz w:val="22"/>
        </w:rPr>
        <w:t> </w:t>
      </w:r>
      <w:r>
        <w:rPr>
          <w:i/>
          <w:color w:val="6C6362"/>
          <w:sz w:val="22"/>
        </w:rPr>
        <w:t>July 31, 2018</w:t>
      </w:r>
    </w:p>
    <w:p>
      <w:pPr>
        <w:pStyle w:val="BodyText"/>
        <w:spacing w:before="2"/>
        <w:rPr>
          <w:i/>
        </w:rPr>
      </w:pPr>
    </w:p>
    <w:p>
      <w:pPr>
        <w:spacing w:before="0"/>
        <w:ind w:left="520" w:right="0" w:firstLine="0"/>
        <w:jc w:val="left"/>
        <w:rPr>
          <w:b/>
          <w:i/>
          <w:sz w:val="22"/>
        </w:rPr>
      </w:pPr>
      <w:r>
        <w:rPr>
          <w:b/>
          <w:i/>
          <w:color w:val="6C6362"/>
          <w:sz w:val="22"/>
        </w:rPr>
        <w:t>Kallxo.com</w:t>
      </w:r>
    </w:p>
    <w:p>
      <w:pPr>
        <w:pStyle w:val="BodyText"/>
        <w:spacing w:before="10"/>
        <w:rPr>
          <w:b/>
          <w:i/>
          <w:sz w:val="21"/>
        </w:rPr>
      </w:pPr>
    </w:p>
    <w:p>
      <w:pPr>
        <w:spacing w:line="247" w:lineRule="auto" w:before="0"/>
        <w:ind w:left="520" w:right="1684" w:firstLine="0"/>
        <w:jc w:val="left"/>
        <w:rPr>
          <w:rFonts w:ascii="Times New Roman" w:hAnsi="Times New Roman"/>
          <w:i/>
          <w:sz w:val="22"/>
        </w:rPr>
      </w:pPr>
      <w:r>
        <w:rPr>
          <w:color w:val="6C6362"/>
          <w:sz w:val="22"/>
        </w:rPr>
        <w:t>‘The draft law affecting women's property rights passes the last barrier’ </w:t>
      </w:r>
      <w:r>
        <w:rPr>
          <w:rFonts w:ascii="Times New Roman" w:hAnsi="Times New Roman"/>
          <w:i/>
          <w:color w:val="808080"/>
          <w:sz w:val="22"/>
          <w:u w:val="single" w:color="808080"/>
        </w:rPr>
        <w:t>https://kallxo.com/projektligji-qe-prek-te-drejtat-e-grave-ne-prone-kalon-pengesen-e-fundit-ne-</w:t>
      </w:r>
      <w:r>
        <w:rPr>
          <w:rFonts w:ascii="Times New Roman" w:hAnsi="Times New Roman"/>
          <w:i/>
          <w:color w:val="808080"/>
          <w:sz w:val="22"/>
        </w:rPr>
        <w:t> </w:t>
      </w:r>
      <w:r>
        <w:rPr>
          <w:rFonts w:ascii="Times New Roman" w:hAnsi="Times New Roman"/>
          <w:i/>
          <w:color w:val="808080"/>
          <w:sz w:val="22"/>
          <w:u w:val="single" w:color="808080"/>
        </w:rPr>
        <w:t>komision/</w:t>
      </w:r>
    </w:p>
    <w:p>
      <w:pPr>
        <w:spacing w:line="232" w:lineRule="exact" w:before="0"/>
        <w:ind w:left="520" w:right="0" w:firstLine="0"/>
        <w:jc w:val="left"/>
        <w:rPr>
          <w:i/>
          <w:sz w:val="22"/>
        </w:rPr>
      </w:pPr>
      <w:r>
        <w:rPr>
          <w:i/>
          <w:color w:val="6C6362"/>
          <w:sz w:val="22"/>
        </w:rPr>
        <w:t>September 19, 2018</w:t>
      </w:r>
    </w:p>
    <w:p>
      <w:pPr>
        <w:spacing w:after="0" w:line="232" w:lineRule="exact"/>
        <w:jc w:val="left"/>
        <w:rPr>
          <w:sz w:val="22"/>
        </w:rPr>
        <w:sectPr>
          <w:footerReference w:type="default" r:id="rId79"/>
          <w:pgSz w:w="11910" w:h="16840"/>
          <w:pgMar w:footer="720" w:header="0" w:top="1580" w:bottom="900" w:left="920" w:right="340"/>
        </w:sectPr>
      </w:pPr>
    </w:p>
    <w:p>
      <w:pPr>
        <w:pStyle w:val="BodyText"/>
        <w:spacing w:before="10"/>
        <w:rPr>
          <w:i/>
          <w:sz w:val="27"/>
        </w:rPr>
      </w:pPr>
    </w:p>
    <w:p>
      <w:pPr>
        <w:pStyle w:val="Heading3"/>
        <w:spacing w:before="101"/>
        <w:ind w:left="100"/>
      </w:pPr>
      <w:bookmarkStart w:name="_bookmark24" w:id="25"/>
      <w:bookmarkEnd w:id="25"/>
      <w:r>
        <w:rPr>
          <w:b w:val="0"/>
        </w:rPr>
      </w:r>
      <w:r>
        <w:rPr>
          <w:color w:val="C21139"/>
        </w:rPr>
        <w:t>PROJECT STAFF</w:t>
      </w:r>
    </w:p>
    <w:p>
      <w:pPr>
        <w:pStyle w:val="BodyText"/>
        <w:spacing w:before="8"/>
        <w:rPr>
          <w:b/>
          <w:sz w:val="13"/>
        </w:rPr>
      </w:pPr>
    </w:p>
    <w:tbl>
      <w:tblPr>
        <w:tblW w:w="0" w:type="auto"/>
        <w:jc w:val="left"/>
        <w:tblInd w:w="107" w:type="dxa"/>
        <w:tblBorders>
          <w:top w:val="single" w:sz="4" w:space="0" w:color="002A6C"/>
          <w:left w:val="single" w:sz="4" w:space="0" w:color="002A6C"/>
          <w:bottom w:val="single" w:sz="4" w:space="0" w:color="002A6C"/>
          <w:right w:val="single" w:sz="4" w:space="0" w:color="002A6C"/>
          <w:insideH w:val="single" w:sz="4" w:space="0" w:color="002A6C"/>
          <w:insideV w:val="single" w:sz="4" w:space="0" w:color="002A6C"/>
        </w:tblBorders>
        <w:tblLayout w:type="fixed"/>
        <w:tblCellMar>
          <w:top w:w="0" w:type="dxa"/>
          <w:left w:w="0" w:type="dxa"/>
          <w:bottom w:w="0" w:type="dxa"/>
          <w:right w:w="0" w:type="dxa"/>
        </w:tblCellMar>
        <w:tblLook w:val="01E0"/>
      </w:tblPr>
      <w:tblGrid>
        <w:gridCol w:w="1512"/>
        <w:gridCol w:w="379"/>
        <w:gridCol w:w="2364"/>
        <w:gridCol w:w="3451"/>
        <w:gridCol w:w="1867"/>
        <w:gridCol w:w="377"/>
        <w:gridCol w:w="874"/>
        <w:gridCol w:w="1887"/>
        <w:gridCol w:w="1899"/>
      </w:tblGrid>
      <w:tr>
        <w:trPr>
          <w:trHeight w:val="599" w:hRule="atLeast"/>
        </w:trPr>
        <w:tc>
          <w:tcPr>
            <w:tcW w:w="1512" w:type="dxa"/>
            <w:tcBorders>
              <w:top w:val="nil"/>
              <w:left w:val="nil"/>
              <w:right w:val="nil"/>
            </w:tcBorders>
            <w:shd w:val="clear" w:color="auto" w:fill="666666"/>
          </w:tcPr>
          <w:p>
            <w:pPr>
              <w:pStyle w:val="TableParagraph"/>
              <w:spacing w:before="1"/>
              <w:rPr>
                <w:b/>
                <w:sz w:val="30"/>
              </w:rPr>
            </w:pPr>
          </w:p>
          <w:p>
            <w:pPr>
              <w:pStyle w:val="TableParagraph"/>
              <w:spacing w:line="230" w:lineRule="exact"/>
              <w:rPr>
                <w:b/>
                <w:sz w:val="20"/>
              </w:rPr>
            </w:pPr>
            <w:r>
              <w:rPr>
                <w:b/>
                <w:color w:val="FFFFFF"/>
                <w:sz w:val="20"/>
              </w:rPr>
              <w:t>CATEGORY</w:t>
            </w:r>
          </w:p>
        </w:tc>
        <w:tc>
          <w:tcPr>
            <w:tcW w:w="379" w:type="dxa"/>
            <w:tcBorders>
              <w:top w:val="nil"/>
              <w:left w:val="nil"/>
              <w:right w:val="nil"/>
            </w:tcBorders>
            <w:shd w:val="clear" w:color="auto" w:fill="666666"/>
          </w:tcPr>
          <w:p>
            <w:pPr>
              <w:pStyle w:val="TableParagraph"/>
              <w:spacing w:before="1"/>
              <w:rPr>
                <w:b/>
                <w:sz w:val="30"/>
              </w:rPr>
            </w:pPr>
          </w:p>
          <w:p>
            <w:pPr>
              <w:pStyle w:val="TableParagraph"/>
              <w:spacing w:line="230" w:lineRule="exact"/>
              <w:ind w:left="5"/>
              <w:rPr>
                <w:b/>
                <w:sz w:val="20"/>
              </w:rPr>
            </w:pPr>
            <w:r>
              <w:rPr>
                <w:b/>
                <w:color w:val="FFFFFF"/>
                <w:sz w:val="20"/>
              </w:rPr>
              <w:t>NO</w:t>
            </w:r>
          </w:p>
        </w:tc>
        <w:tc>
          <w:tcPr>
            <w:tcW w:w="2364" w:type="dxa"/>
            <w:tcBorders>
              <w:top w:val="nil"/>
              <w:left w:val="nil"/>
              <w:bottom w:val="nil"/>
              <w:right w:val="nil"/>
            </w:tcBorders>
            <w:shd w:val="clear" w:color="auto" w:fill="002A6C"/>
          </w:tcPr>
          <w:p>
            <w:pPr>
              <w:pStyle w:val="TableParagraph"/>
              <w:spacing w:before="1"/>
              <w:rPr>
                <w:b/>
                <w:sz w:val="30"/>
              </w:rPr>
            </w:pPr>
          </w:p>
          <w:p>
            <w:pPr>
              <w:pStyle w:val="TableParagraph"/>
              <w:spacing w:line="230" w:lineRule="exact"/>
              <w:ind w:left="5"/>
              <w:rPr>
                <w:b/>
                <w:sz w:val="20"/>
              </w:rPr>
            </w:pPr>
            <w:r>
              <w:rPr>
                <w:b/>
                <w:color w:val="FFFFFF"/>
                <w:sz w:val="20"/>
              </w:rPr>
              <w:t>NAME AND SURNAME</w:t>
            </w:r>
          </w:p>
        </w:tc>
        <w:tc>
          <w:tcPr>
            <w:tcW w:w="3451" w:type="dxa"/>
            <w:tcBorders>
              <w:top w:val="nil"/>
              <w:left w:val="nil"/>
              <w:bottom w:val="nil"/>
              <w:right w:val="nil"/>
            </w:tcBorders>
            <w:shd w:val="clear" w:color="auto" w:fill="002A6C"/>
          </w:tcPr>
          <w:p>
            <w:pPr>
              <w:pStyle w:val="TableParagraph"/>
              <w:spacing w:line="280" w:lineRule="atLeast" w:before="20"/>
              <w:ind w:left="6" w:right="1276"/>
              <w:rPr>
                <w:b/>
                <w:sz w:val="20"/>
              </w:rPr>
            </w:pPr>
            <w:r>
              <w:rPr>
                <w:b/>
                <w:color w:val="FFFFFF"/>
                <w:sz w:val="20"/>
              </w:rPr>
              <w:t>POSITION/ </w:t>
            </w:r>
            <w:r>
              <w:rPr>
                <w:b/>
                <w:color w:val="FFFFFF"/>
                <w:w w:val="95"/>
                <w:sz w:val="20"/>
              </w:rPr>
              <w:t>EXPERTISE</w:t>
            </w:r>
          </w:p>
        </w:tc>
        <w:tc>
          <w:tcPr>
            <w:tcW w:w="1867" w:type="dxa"/>
            <w:tcBorders>
              <w:top w:val="nil"/>
              <w:left w:val="nil"/>
              <w:right w:val="nil"/>
            </w:tcBorders>
            <w:shd w:val="clear" w:color="auto" w:fill="C21139"/>
          </w:tcPr>
          <w:p>
            <w:pPr>
              <w:pStyle w:val="TableParagraph"/>
              <w:spacing w:before="1"/>
              <w:rPr>
                <w:b/>
                <w:sz w:val="30"/>
              </w:rPr>
            </w:pPr>
          </w:p>
          <w:p>
            <w:pPr>
              <w:pStyle w:val="TableParagraph"/>
              <w:spacing w:line="230" w:lineRule="exact"/>
              <w:ind w:left="6"/>
              <w:rPr>
                <w:b/>
                <w:sz w:val="20"/>
              </w:rPr>
            </w:pPr>
            <w:r>
              <w:rPr>
                <w:b/>
                <w:color w:val="FFFFFF"/>
                <w:sz w:val="20"/>
              </w:rPr>
              <w:t>E-MAIL ADDRESS</w:t>
            </w:r>
          </w:p>
        </w:tc>
        <w:tc>
          <w:tcPr>
            <w:tcW w:w="377" w:type="dxa"/>
            <w:tcBorders>
              <w:top w:val="nil"/>
              <w:left w:val="nil"/>
              <w:right w:val="nil"/>
            </w:tcBorders>
            <w:shd w:val="clear" w:color="auto" w:fill="C21139"/>
          </w:tcPr>
          <w:p>
            <w:pPr>
              <w:pStyle w:val="TableParagraph"/>
              <w:rPr>
                <w:rFonts w:ascii="Times New Roman"/>
                <w:sz w:val="16"/>
              </w:rPr>
            </w:pPr>
          </w:p>
        </w:tc>
        <w:tc>
          <w:tcPr>
            <w:tcW w:w="874" w:type="dxa"/>
            <w:tcBorders>
              <w:top w:val="nil"/>
              <w:left w:val="nil"/>
              <w:right w:val="nil"/>
            </w:tcBorders>
            <w:shd w:val="clear" w:color="auto" w:fill="C21139"/>
          </w:tcPr>
          <w:p>
            <w:pPr>
              <w:pStyle w:val="TableParagraph"/>
              <w:rPr>
                <w:rFonts w:ascii="Times New Roman"/>
                <w:sz w:val="16"/>
              </w:rPr>
            </w:pPr>
          </w:p>
        </w:tc>
        <w:tc>
          <w:tcPr>
            <w:tcW w:w="1887" w:type="dxa"/>
            <w:tcBorders>
              <w:top w:val="nil"/>
              <w:left w:val="nil"/>
              <w:right w:val="nil"/>
            </w:tcBorders>
            <w:shd w:val="clear" w:color="auto" w:fill="C21139"/>
          </w:tcPr>
          <w:p>
            <w:pPr>
              <w:pStyle w:val="TableParagraph"/>
              <w:spacing w:before="1"/>
              <w:rPr>
                <w:b/>
                <w:sz w:val="30"/>
              </w:rPr>
            </w:pPr>
          </w:p>
          <w:p>
            <w:pPr>
              <w:pStyle w:val="TableParagraph"/>
              <w:spacing w:line="230" w:lineRule="exact"/>
              <w:ind w:left="6"/>
              <w:rPr>
                <w:b/>
                <w:sz w:val="20"/>
              </w:rPr>
            </w:pPr>
            <w:r>
              <w:rPr>
                <w:b/>
                <w:color w:val="FFFFFF"/>
                <w:sz w:val="20"/>
              </w:rPr>
              <w:t>ORGANIZATION</w:t>
            </w:r>
          </w:p>
        </w:tc>
        <w:tc>
          <w:tcPr>
            <w:tcW w:w="1899" w:type="dxa"/>
            <w:tcBorders>
              <w:top w:val="nil"/>
              <w:left w:val="nil"/>
              <w:right w:val="nil"/>
            </w:tcBorders>
            <w:shd w:val="clear" w:color="auto" w:fill="666666"/>
          </w:tcPr>
          <w:p>
            <w:pPr>
              <w:pStyle w:val="TableParagraph"/>
              <w:spacing w:before="1"/>
              <w:rPr>
                <w:b/>
                <w:sz w:val="30"/>
              </w:rPr>
            </w:pPr>
          </w:p>
          <w:p>
            <w:pPr>
              <w:pStyle w:val="TableParagraph"/>
              <w:spacing w:line="230" w:lineRule="exact"/>
              <w:ind w:left="6"/>
              <w:rPr>
                <w:b/>
                <w:sz w:val="20"/>
              </w:rPr>
            </w:pPr>
            <w:r>
              <w:rPr>
                <w:b/>
                <w:color w:val="FFFFFF"/>
                <w:sz w:val="20"/>
              </w:rPr>
              <w:t>INPUT</w:t>
            </w:r>
          </w:p>
        </w:tc>
      </w:tr>
      <w:tr>
        <w:trPr>
          <w:trHeight w:val="237" w:hRule="atLeast"/>
        </w:trPr>
        <w:tc>
          <w:tcPr>
            <w:tcW w:w="1512" w:type="dxa"/>
            <w:vMerge w:val="restart"/>
            <w:tcBorders>
              <w:left w:val="nil"/>
            </w:tcBorders>
            <w:shd w:val="clear" w:color="auto" w:fill="DDDDDD"/>
          </w:tcPr>
          <w:p>
            <w:pPr>
              <w:pStyle w:val="TableParagraph"/>
              <w:spacing w:before="6"/>
              <w:rPr>
                <w:b/>
                <w:sz w:val="25"/>
              </w:rPr>
            </w:pPr>
          </w:p>
          <w:p>
            <w:pPr>
              <w:pStyle w:val="TableParagraph"/>
              <w:rPr>
                <w:b/>
                <w:sz w:val="20"/>
              </w:rPr>
            </w:pPr>
            <w:r>
              <w:rPr>
                <w:b/>
                <w:sz w:val="20"/>
              </w:rPr>
              <w:t>Home Office</w:t>
            </w:r>
          </w:p>
        </w:tc>
        <w:tc>
          <w:tcPr>
            <w:tcW w:w="379" w:type="dxa"/>
            <w:shd w:val="clear" w:color="auto" w:fill="DDDDDD"/>
          </w:tcPr>
          <w:p>
            <w:pPr>
              <w:pStyle w:val="TableParagraph"/>
              <w:spacing w:line="195" w:lineRule="exact" w:before="22"/>
              <w:rPr>
                <w:sz w:val="17"/>
              </w:rPr>
            </w:pPr>
            <w:r>
              <w:rPr>
                <w:sz w:val="17"/>
              </w:rPr>
              <w:t>1.</w:t>
            </w:r>
          </w:p>
        </w:tc>
        <w:tc>
          <w:tcPr>
            <w:tcW w:w="2364" w:type="dxa"/>
            <w:tcBorders>
              <w:top w:val="nil"/>
            </w:tcBorders>
            <w:shd w:val="clear" w:color="auto" w:fill="DDDDDD"/>
          </w:tcPr>
          <w:p>
            <w:pPr>
              <w:pStyle w:val="TableParagraph"/>
              <w:spacing w:line="195" w:lineRule="exact" w:before="22"/>
              <w:rPr>
                <w:sz w:val="17"/>
              </w:rPr>
            </w:pPr>
            <w:r>
              <w:rPr>
                <w:sz w:val="17"/>
              </w:rPr>
              <w:t>Mr. Brian Kemple</w:t>
            </w:r>
          </w:p>
        </w:tc>
        <w:tc>
          <w:tcPr>
            <w:tcW w:w="3451" w:type="dxa"/>
            <w:tcBorders>
              <w:top w:val="nil"/>
            </w:tcBorders>
            <w:shd w:val="clear" w:color="auto" w:fill="DDDDDD"/>
          </w:tcPr>
          <w:p>
            <w:pPr>
              <w:pStyle w:val="TableParagraph"/>
              <w:spacing w:line="195" w:lineRule="exact" w:before="22"/>
              <w:ind w:left="61"/>
              <w:rPr>
                <w:sz w:val="17"/>
              </w:rPr>
            </w:pPr>
            <w:r>
              <w:rPr>
                <w:sz w:val="17"/>
              </w:rPr>
              <w:t>Chief of Party</w:t>
            </w:r>
          </w:p>
        </w:tc>
        <w:tc>
          <w:tcPr>
            <w:tcW w:w="3118" w:type="dxa"/>
            <w:gridSpan w:val="3"/>
            <w:shd w:val="clear" w:color="auto" w:fill="9DBEE4"/>
          </w:tcPr>
          <w:p>
            <w:pPr>
              <w:pStyle w:val="TableParagraph"/>
              <w:spacing w:line="195" w:lineRule="exact" w:before="22"/>
              <w:ind w:left="1"/>
              <w:rPr>
                <w:sz w:val="17"/>
              </w:rPr>
            </w:pPr>
            <w:hyperlink r:id="rId8">
              <w:r>
                <w:rPr>
                  <w:sz w:val="17"/>
                </w:rPr>
                <w:t>brian.kemple@prpkos.com</w:t>
              </w:r>
            </w:hyperlink>
          </w:p>
        </w:tc>
        <w:tc>
          <w:tcPr>
            <w:tcW w:w="1887" w:type="dxa"/>
            <w:shd w:val="clear" w:color="auto" w:fill="9DBEE4"/>
          </w:tcPr>
          <w:p>
            <w:pPr>
              <w:pStyle w:val="TableParagraph"/>
              <w:spacing w:line="195" w:lineRule="exact" w:before="22"/>
              <w:ind w:left="1"/>
              <w:rPr>
                <w:sz w:val="17"/>
              </w:rPr>
            </w:pPr>
            <w:r>
              <w:rPr>
                <w:sz w:val="17"/>
              </w:rPr>
              <w:t>Tetra Tech ARD</w:t>
            </w:r>
          </w:p>
        </w:tc>
        <w:tc>
          <w:tcPr>
            <w:tcW w:w="1899" w:type="dxa"/>
            <w:tcBorders>
              <w:right w:val="nil"/>
            </w:tcBorders>
            <w:shd w:val="clear" w:color="auto" w:fill="9DBEE4"/>
          </w:tcPr>
          <w:p>
            <w:pPr>
              <w:pStyle w:val="TableParagraph"/>
              <w:spacing w:line="195" w:lineRule="exact" w:before="22"/>
              <w:ind w:left="1"/>
              <w:rPr>
                <w:sz w:val="17"/>
              </w:rPr>
            </w:pPr>
            <w:r>
              <w:rPr>
                <w:sz w:val="17"/>
              </w:rPr>
              <w:t>Ongoing</w:t>
            </w:r>
          </w:p>
        </w:tc>
      </w:tr>
      <w:tr>
        <w:trPr>
          <w:trHeight w:val="282" w:hRule="atLeast"/>
        </w:trPr>
        <w:tc>
          <w:tcPr>
            <w:tcW w:w="1512" w:type="dxa"/>
            <w:vMerge/>
            <w:tcBorders>
              <w:top w:val="nil"/>
              <w:left w:val="nil"/>
            </w:tcBorders>
            <w:shd w:val="clear" w:color="auto" w:fill="DDDDDD"/>
          </w:tcPr>
          <w:p>
            <w:pPr>
              <w:rPr>
                <w:sz w:val="2"/>
                <w:szCs w:val="2"/>
              </w:rPr>
            </w:pPr>
          </w:p>
        </w:tc>
        <w:tc>
          <w:tcPr>
            <w:tcW w:w="379" w:type="dxa"/>
            <w:shd w:val="clear" w:color="auto" w:fill="DDDDDD"/>
          </w:tcPr>
          <w:p>
            <w:pPr>
              <w:pStyle w:val="TableParagraph"/>
              <w:spacing w:before="43"/>
              <w:rPr>
                <w:sz w:val="17"/>
              </w:rPr>
            </w:pPr>
            <w:r>
              <w:rPr>
                <w:sz w:val="17"/>
              </w:rPr>
              <w:t>3.</w:t>
            </w:r>
          </w:p>
        </w:tc>
        <w:tc>
          <w:tcPr>
            <w:tcW w:w="2364" w:type="dxa"/>
            <w:shd w:val="clear" w:color="auto" w:fill="DDDDDD"/>
          </w:tcPr>
          <w:p>
            <w:pPr>
              <w:pStyle w:val="TableParagraph"/>
              <w:spacing w:before="43"/>
              <w:rPr>
                <w:sz w:val="17"/>
              </w:rPr>
            </w:pPr>
            <w:r>
              <w:rPr>
                <w:sz w:val="17"/>
              </w:rPr>
              <w:t>Mr. John (Jack) Keefe</w:t>
            </w:r>
          </w:p>
        </w:tc>
        <w:tc>
          <w:tcPr>
            <w:tcW w:w="3451" w:type="dxa"/>
            <w:shd w:val="clear" w:color="auto" w:fill="DDDDDD"/>
          </w:tcPr>
          <w:p>
            <w:pPr>
              <w:pStyle w:val="TableParagraph"/>
              <w:spacing w:before="43"/>
              <w:ind w:left="61"/>
              <w:rPr>
                <w:sz w:val="17"/>
              </w:rPr>
            </w:pPr>
            <w:r>
              <w:rPr>
                <w:sz w:val="17"/>
              </w:rPr>
              <w:t>Project Manager (Technical)</w:t>
            </w:r>
          </w:p>
        </w:tc>
        <w:tc>
          <w:tcPr>
            <w:tcW w:w="3118" w:type="dxa"/>
            <w:gridSpan w:val="3"/>
            <w:shd w:val="clear" w:color="auto" w:fill="9DBEE4"/>
          </w:tcPr>
          <w:p>
            <w:pPr>
              <w:pStyle w:val="TableParagraph"/>
              <w:spacing w:before="43"/>
              <w:ind w:left="1"/>
              <w:rPr>
                <w:sz w:val="17"/>
              </w:rPr>
            </w:pPr>
            <w:hyperlink r:id="rId9">
              <w:r>
                <w:rPr>
                  <w:sz w:val="17"/>
                </w:rPr>
                <w:t>jack.keefe@tetratech.com</w:t>
              </w:r>
            </w:hyperlink>
          </w:p>
        </w:tc>
        <w:tc>
          <w:tcPr>
            <w:tcW w:w="1887" w:type="dxa"/>
            <w:shd w:val="clear" w:color="auto" w:fill="9DBEE4"/>
          </w:tcPr>
          <w:p>
            <w:pPr>
              <w:pStyle w:val="TableParagraph"/>
              <w:spacing w:before="43"/>
              <w:ind w:left="1"/>
              <w:rPr>
                <w:sz w:val="17"/>
              </w:rPr>
            </w:pPr>
            <w:r>
              <w:rPr>
                <w:sz w:val="17"/>
              </w:rPr>
              <w:t>Tetra Tech ARD</w:t>
            </w:r>
          </w:p>
        </w:tc>
        <w:tc>
          <w:tcPr>
            <w:tcW w:w="1899" w:type="dxa"/>
            <w:tcBorders>
              <w:right w:val="nil"/>
            </w:tcBorders>
            <w:shd w:val="clear" w:color="auto" w:fill="9DBEE4"/>
          </w:tcPr>
          <w:p>
            <w:pPr>
              <w:pStyle w:val="TableParagraph"/>
              <w:spacing w:before="43"/>
              <w:ind w:left="1"/>
              <w:rPr>
                <w:sz w:val="17"/>
              </w:rPr>
            </w:pPr>
            <w:r>
              <w:rPr>
                <w:sz w:val="17"/>
              </w:rPr>
              <w:t>Ongoing</w:t>
            </w:r>
          </w:p>
        </w:tc>
      </w:tr>
      <w:tr>
        <w:trPr>
          <w:trHeight w:val="237" w:hRule="atLeast"/>
        </w:trPr>
        <w:tc>
          <w:tcPr>
            <w:tcW w:w="1512" w:type="dxa"/>
            <w:vMerge/>
            <w:tcBorders>
              <w:top w:val="nil"/>
              <w:left w:val="nil"/>
            </w:tcBorders>
            <w:shd w:val="clear" w:color="auto" w:fill="DDDDDD"/>
          </w:tcPr>
          <w:p>
            <w:pPr>
              <w:rPr>
                <w:sz w:val="2"/>
                <w:szCs w:val="2"/>
              </w:rPr>
            </w:pPr>
          </w:p>
        </w:tc>
        <w:tc>
          <w:tcPr>
            <w:tcW w:w="379" w:type="dxa"/>
            <w:shd w:val="clear" w:color="auto" w:fill="DDDDDD"/>
          </w:tcPr>
          <w:p>
            <w:pPr>
              <w:pStyle w:val="TableParagraph"/>
              <w:spacing w:before="20"/>
              <w:rPr>
                <w:sz w:val="17"/>
              </w:rPr>
            </w:pPr>
            <w:r>
              <w:rPr>
                <w:sz w:val="17"/>
              </w:rPr>
              <w:t>3.</w:t>
            </w:r>
          </w:p>
        </w:tc>
        <w:tc>
          <w:tcPr>
            <w:tcW w:w="2364" w:type="dxa"/>
            <w:shd w:val="clear" w:color="auto" w:fill="DDDDDD"/>
          </w:tcPr>
          <w:p>
            <w:pPr>
              <w:pStyle w:val="TableParagraph"/>
              <w:spacing w:before="20"/>
              <w:rPr>
                <w:sz w:val="17"/>
              </w:rPr>
            </w:pPr>
            <w:r>
              <w:rPr>
                <w:sz w:val="17"/>
              </w:rPr>
              <w:t>Mr. Thomas McCann</w:t>
            </w:r>
          </w:p>
        </w:tc>
        <w:tc>
          <w:tcPr>
            <w:tcW w:w="3451" w:type="dxa"/>
            <w:shd w:val="clear" w:color="auto" w:fill="DDDDDD"/>
          </w:tcPr>
          <w:p>
            <w:pPr>
              <w:pStyle w:val="TableParagraph"/>
              <w:spacing w:before="20"/>
              <w:ind w:left="61"/>
              <w:rPr>
                <w:sz w:val="17"/>
              </w:rPr>
            </w:pPr>
            <w:r>
              <w:rPr>
                <w:sz w:val="17"/>
              </w:rPr>
              <w:t>Deputy Project Manager (Administrative)</w:t>
            </w:r>
          </w:p>
        </w:tc>
        <w:tc>
          <w:tcPr>
            <w:tcW w:w="3118" w:type="dxa"/>
            <w:gridSpan w:val="3"/>
            <w:shd w:val="clear" w:color="auto" w:fill="9DBEE4"/>
          </w:tcPr>
          <w:p>
            <w:pPr>
              <w:pStyle w:val="TableParagraph"/>
              <w:spacing w:before="20"/>
              <w:ind w:left="1"/>
              <w:rPr>
                <w:sz w:val="17"/>
              </w:rPr>
            </w:pPr>
            <w:hyperlink r:id="rId81">
              <w:r>
                <w:rPr>
                  <w:sz w:val="17"/>
                </w:rPr>
                <w:t>thomas.mccann@tetratech.com</w:t>
              </w:r>
            </w:hyperlink>
          </w:p>
        </w:tc>
        <w:tc>
          <w:tcPr>
            <w:tcW w:w="1887" w:type="dxa"/>
            <w:shd w:val="clear" w:color="auto" w:fill="9DBEE4"/>
          </w:tcPr>
          <w:p>
            <w:pPr>
              <w:pStyle w:val="TableParagraph"/>
              <w:spacing w:before="20"/>
              <w:ind w:left="1"/>
              <w:rPr>
                <w:sz w:val="17"/>
              </w:rPr>
            </w:pPr>
            <w:r>
              <w:rPr>
                <w:sz w:val="17"/>
              </w:rPr>
              <w:t>Tetra Tech ARD</w:t>
            </w:r>
          </w:p>
        </w:tc>
        <w:tc>
          <w:tcPr>
            <w:tcW w:w="1899" w:type="dxa"/>
            <w:tcBorders>
              <w:right w:val="nil"/>
            </w:tcBorders>
            <w:shd w:val="clear" w:color="auto" w:fill="9DBEE4"/>
          </w:tcPr>
          <w:p>
            <w:pPr>
              <w:pStyle w:val="TableParagraph"/>
              <w:spacing w:before="20"/>
              <w:ind w:left="1"/>
              <w:rPr>
                <w:sz w:val="17"/>
              </w:rPr>
            </w:pPr>
            <w:r>
              <w:rPr>
                <w:sz w:val="17"/>
              </w:rPr>
              <w:t>Ongoing</w:t>
            </w:r>
          </w:p>
        </w:tc>
      </w:tr>
      <w:tr>
        <w:trPr>
          <w:trHeight w:val="253" w:hRule="atLeast"/>
        </w:trPr>
        <w:tc>
          <w:tcPr>
            <w:tcW w:w="1512" w:type="dxa"/>
            <w:vMerge w:val="restart"/>
            <w:tcBorders>
              <w:left w:val="nil"/>
              <w:bottom w:val="single" w:sz="12" w:space="0" w:color="002A6C"/>
            </w:tcBorders>
            <w:shd w:val="clear" w:color="auto" w:fill="DDDDDD"/>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7"/>
              </w:rPr>
            </w:pPr>
          </w:p>
          <w:p>
            <w:pPr>
              <w:pStyle w:val="TableParagraph"/>
              <w:spacing w:line="290" w:lineRule="auto"/>
              <w:ind w:right="337"/>
              <w:rPr>
                <w:b/>
                <w:sz w:val="20"/>
              </w:rPr>
            </w:pPr>
            <w:r>
              <w:rPr>
                <w:b/>
                <w:sz w:val="20"/>
              </w:rPr>
              <w:t>Kosovo Local Staff</w:t>
            </w:r>
          </w:p>
        </w:tc>
        <w:tc>
          <w:tcPr>
            <w:tcW w:w="379" w:type="dxa"/>
            <w:shd w:val="clear" w:color="auto" w:fill="DDDDDD"/>
          </w:tcPr>
          <w:p>
            <w:pPr>
              <w:pStyle w:val="TableParagraph"/>
              <w:spacing w:before="34"/>
              <w:rPr>
                <w:sz w:val="17"/>
              </w:rPr>
            </w:pPr>
            <w:r>
              <w:rPr>
                <w:sz w:val="17"/>
              </w:rPr>
              <w:t>1.</w:t>
            </w:r>
          </w:p>
        </w:tc>
        <w:tc>
          <w:tcPr>
            <w:tcW w:w="2364" w:type="dxa"/>
            <w:shd w:val="clear" w:color="auto" w:fill="DDDDDD"/>
          </w:tcPr>
          <w:p>
            <w:pPr>
              <w:pStyle w:val="TableParagraph"/>
              <w:spacing w:before="34"/>
              <w:rPr>
                <w:sz w:val="17"/>
              </w:rPr>
            </w:pPr>
            <w:r>
              <w:rPr>
                <w:sz w:val="17"/>
              </w:rPr>
              <w:t>Mr. Xhevat Azemi</w:t>
            </w:r>
          </w:p>
        </w:tc>
        <w:tc>
          <w:tcPr>
            <w:tcW w:w="3451" w:type="dxa"/>
            <w:shd w:val="clear" w:color="auto" w:fill="DDDDDD"/>
          </w:tcPr>
          <w:p>
            <w:pPr>
              <w:pStyle w:val="TableParagraph"/>
              <w:spacing w:before="34"/>
              <w:ind w:left="61"/>
              <w:rPr>
                <w:sz w:val="17"/>
              </w:rPr>
            </w:pPr>
            <w:r>
              <w:rPr>
                <w:sz w:val="17"/>
              </w:rPr>
              <w:t>Senior Policy Development Specialist</w:t>
            </w:r>
          </w:p>
        </w:tc>
        <w:tc>
          <w:tcPr>
            <w:tcW w:w="3118" w:type="dxa"/>
            <w:gridSpan w:val="3"/>
            <w:shd w:val="clear" w:color="auto" w:fill="9DBEE4"/>
          </w:tcPr>
          <w:p>
            <w:pPr>
              <w:pStyle w:val="TableParagraph"/>
              <w:spacing w:before="34"/>
              <w:ind w:left="1"/>
              <w:rPr>
                <w:sz w:val="17"/>
              </w:rPr>
            </w:pPr>
            <w:hyperlink r:id="rId82">
              <w:r>
                <w:rPr>
                  <w:sz w:val="17"/>
                </w:rPr>
                <w:t>xhevat.azemi@prpkos.com</w:t>
              </w:r>
            </w:hyperlink>
          </w:p>
        </w:tc>
        <w:tc>
          <w:tcPr>
            <w:tcW w:w="1887" w:type="dxa"/>
            <w:shd w:val="clear" w:color="auto" w:fill="9DBEE4"/>
          </w:tcPr>
          <w:p>
            <w:pPr>
              <w:pStyle w:val="TableParagraph"/>
              <w:spacing w:before="34"/>
              <w:ind w:left="1"/>
              <w:rPr>
                <w:sz w:val="17"/>
              </w:rPr>
            </w:pPr>
            <w:r>
              <w:rPr>
                <w:sz w:val="17"/>
              </w:rPr>
              <w:t>Tetra Tech ARD</w:t>
            </w:r>
          </w:p>
        </w:tc>
        <w:tc>
          <w:tcPr>
            <w:tcW w:w="1899" w:type="dxa"/>
            <w:tcBorders>
              <w:right w:val="nil"/>
            </w:tcBorders>
            <w:shd w:val="clear" w:color="auto" w:fill="9DBEE4"/>
          </w:tcPr>
          <w:p>
            <w:pPr>
              <w:pStyle w:val="TableParagraph"/>
              <w:spacing w:before="34"/>
              <w:ind w:left="1"/>
              <w:rPr>
                <w:sz w:val="17"/>
              </w:rPr>
            </w:pPr>
            <w:r>
              <w:rPr>
                <w:sz w:val="17"/>
              </w:rPr>
              <w:t>Ongoing</w:t>
            </w:r>
          </w:p>
        </w:tc>
      </w:tr>
      <w:tr>
        <w:trPr>
          <w:trHeight w:val="246"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24"/>
              <w:rPr>
                <w:sz w:val="17"/>
              </w:rPr>
            </w:pPr>
            <w:r>
              <w:rPr>
                <w:sz w:val="17"/>
              </w:rPr>
              <w:t>2.</w:t>
            </w:r>
          </w:p>
        </w:tc>
        <w:tc>
          <w:tcPr>
            <w:tcW w:w="2364" w:type="dxa"/>
            <w:shd w:val="clear" w:color="auto" w:fill="DDDDDD"/>
          </w:tcPr>
          <w:p>
            <w:pPr>
              <w:pStyle w:val="TableParagraph"/>
              <w:spacing w:before="24"/>
              <w:rPr>
                <w:sz w:val="17"/>
              </w:rPr>
            </w:pPr>
            <w:r>
              <w:rPr>
                <w:sz w:val="17"/>
              </w:rPr>
              <w:t>Mr. Enver Fejzullahi</w:t>
            </w:r>
          </w:p>
        </w:tc>
        <w:tc>
          <w:tcPr>
            <w:tcW w:w="3451" w:type="dxa"/>
            <w:shd w:val="clear" w:color="auto" w:fill="DDDDDD"/>
          </w:tcPr>
          <w:p>
            <w:pPr>
              <w:pStyle w:val="TableParagraph"/>
              <w:spacing w:before="24"/>
              <w:ind w:left="61"/>
              <w:rPr>
                <w:sz w:val="17"/>
              </w:rPr>
            </w:pPr>
            <w:r>
              <w:rPr>
                <w:sz w:val="17"/>
              </w:rPr>
              <w:t>Senior Judicial Reform Specialist</w:t>
            </w:r>
          </w:p>
        </w:tc>
        <w:tc>
          <w:tcPr>
            <w:tcW w:w="3118" w:type="dxa"/>
            <w:gridSpan w:val="3"/>
            <w:shd w:val="clear" w:color="auto" w:fill="9DBEE4"/>
          </w:tcPr>
          <w:p>
            <w:pPr>
              <w:pStyle w:val="TableParagraph"/>
              <w:spacing w:before="24"/>
              <w:ind w:left="1"/>
              <w:rPr>
                <w:sz w:val="17"/>
              </w:rPr>
            </w:pPr>
            <w:hyperlink r:id="rId83">
              <w:r>
                <w:rPr>
                  <w:sz w:val="17"/>
                </w:rPr>
                <w:t>enver.fejzullahi@prpkos.com</w:t>
              </w:r>
            </w:hyperlink>
          </w:p>
        </w:tc>
        <w:tc>
          <w:tcPr>
            <w:tcW w:w="1887" w:type="dxa"/>
            <w:shd w:val="clear" w:color="auto" w:fill="9DBEE4"/>
          </w:tcPr>
          <w:p>
            <w:pPr>
              <w:pStyle w:val="TableParagraph"/>
              <w:spacing w:before="24"/>
              <w:ind w:left="1"/>
              <w:rPr>
                <w:sz w:val="17"/>
              </w:rPr>
            </w:pPr>
            <w:r>
              <w:rPr>
                <w:sz w:val="17"/>
              </w:rPr>
              <w:t>Tetra Tech DPK</w:t>
            </w:r>
          </w:p>
        </w:tc>
        <w:tc>
          <w:tcPr>
            <w:tcW w:w="1899" w:type="dxa"/>
            <w:tcBorders>
              <w:right w:val="nil"/>
            </w:tcBorders>
            <w:shd w:val="clear" w:color="auto" w:fill="9DBEE4"/>
          </w:tcPr>
          <w:p>
            <w:pPr>
              <w:pStyle w:val="TableParagraph"/>
              <w:spacing w:before="24"/>
              <w:ind w:left="1"/>
              <w:rPr>
                <w:sz w:val="17"/>
              </w:rPr>
            </w:pPr>
            <w:r>
              <w:rPr>
                <w:sz w:val="17"/>
              </w:rPr>
              <w:t>Ongoing</w:t>
            </w:r>
          </w:p>
        </w:tc>
      </w:tr>
      <w:tr>
        <w:trPr>
          <w:trHeight w:val="217"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line="188" w:lineRule="exact" w:before="9"/>
              <w:rPr>
                <w:sz w:val="17"/>
              </w:rPr>
            </w:pPr>
            <w:r>
              <w:rPr>
                <w:sz w:val="17"/>
              </w:rPr>
              <w:t>3.</w:t>
            </w:r>
          </w:p>
        </w:tc>
        <w:tc>
          <w:tcPr>
            <w:tcW w:w="2364" w:type="dxa"/>
            <w:shd w:val="clear" w:color="auto" w:fill="DDDDDD"/>
          </w:tcPr>
          <w:p>
            <w:pPr>
              <w:pStyle w:val="TableParagraph"/>
              <w:spacing w:line="188" w:lineRule="exact" w:before="9"/>
              <w:rPr>
                <w:sz w:val="17"/>
              </w:rPr>
            </w:pPr>
            <w:r>
              <w:rPr>
                <w:sz w:val="17"/>
              </w:rPr>
              <w:t>Ms. Merita Limani</w:t>
            </w:r>
          </w:p>
        </w:tc>
        <w:tc>
          <w:tcPr>
            <w:tcW w:w="3451" w:type="dxa"/>
            <w:shd w:val="clear" w:color="auto" w:fill="DDDDDD"/>
          </w:tcPr>
          <w:p>
            <w:pPr>
              <w:pStyle w:val="TableParagraph"/>
              <w:spacing w:line="188" w:lineRule="exact" w:before="9"/>
              <w:ind w:left="61"/>
              <w:rPr>
                <w:sz w:val="17"/>
              </w:rPr>
            </w:pPr>
            <w:r>
              <w:rPr>
                <w:sz w:val="17"/>
              </w:rPr>
              <w:t>Gender and Property Rights Specialist</w:t>
            </w:r>
          </w:p>
        </w:tc>
        <w:tc>
          <w:tcPr>
            <w:tcW w:w="3118" w:type="dxa"/>
            <w:gridSpan w:val="3"/>
            <w:shd w:val="clear" w:color="auto" w:fill="9DBEE4"/>
          </w:tcPr>
          <w:p>
            <w:pPr>
              <w:pStyle w:val="TableParagraph"/>
              <w:spacing w:line="188" w:lineRule="exact" w:before="9"/>
              <w:ind w:left="1"/>
              <w:rPr>
                <w:sz w:val="17"/>
              </w:rPr>
            </w:pPr>
            <w:hyperlink r:id="rId84">
              <w:r>
                <w:rPr>
                  <w:sz w:val="17"/>
                </w:rPr>
                <w:t>merita.limani@prpkos.com</w:t>
              </w:r>
            </w:hyperlink>
          </w:p>
        </w:tc>
        <w:tc>
          <w:tcPr>
            <w:tcW w:w="1887" w:type="dxa"/>
            <w:shd w:val="clear" w:color="auto" w:fill="9DBEE4"/>
          </w:tcPr>
          <w:p>
            <w:pPr>
              <w:pStyle w:val="TableParagraph"/>
              <w:spacing w:line="188" w:lineRule="exact" w:before="9"/>
              <w:ind w:left="1"/>
              <w:rPr>
                <w:sz w:val="17"/>
              </w:rPr>
            </w:pPr>
            <w:r>
              <w:rPr>
                <w:sz w:val="17"/>
              </w:rPr>
              <w:t>Tetra Tech ARD</w:t>
            </w:r>
          </w:p>
        </w:tc>
        <w:tc>
          <w:tcPr>
            <w:tcW w:w="1899" w:type="dxa"/>
            <w:tcBorders>
              <w:right w:val="nil"/>
            </w:tcBorders>
            <w:shd w:val="clear" w:color="auto" w:fill="9DBEE4"/>
          </w:tcPr>
          <w:p>
            <w:pPr>
              <w:pStyle w:val="TableParagraph"/>
              <w:spacing w:line="188" w:lineRule="exact" w:before="9"/>
              <w:ind w:left="1"/>
              <w:rPr>
                <w:sz w:val="17"/>
              </w:rPr>
            </w:pPr>
            <w:r>
              <w:rPr>
                <w:sz w:val="17"/>
              </w:rPr>
              <w:t>Ongoing</w:t>
            </w:r>
          </w:p>
        </w:tc>
      </w:tr>
      <w:tr>
        <w:trPr>
          <w:trHeight w:val="243"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24"/>
              <w:rPr>
                <w:sz w:val="17"/>
              </w:rPr>
            </w:pPr>
            <w:r>
              <w:rPr>
                <w:sz w:val="17"/>
              </w:rPr>
              <w:t>4.</w:t>
            </w:r>
          </w:p>
        </w:tc>
        <w:tc>
          <w:tcPr>
            <w:tcW w:w="2364" w:type="dxa"/>
            <w:shd w:val="clear" w:color="auto" w:fill="DDDDDD"/>
          </w:tcPr>
          <w:p>
            <w:pPr>
              <w:pStyle w:val="TableParagraph"/>
              <w:spacing w:before="24"/>
              <w:rPr>
                <w:sz w:val="17"/>
              </w:rPr>
            </w:pPr>
            <w:r>
              <w:rPr>
                <w:sz w:val="17"/>
              </w:rPr>
              <w:t>Mr. Nehat Ramadani</w:t>
            </w:r>
          </w:p>
        </w:tc>
        <w:tc>
          <w:tcPr>
            <w:tcW w:w="3451" w:type="dxa"/>
            <w:shd w:val="clear" w:color="auto" w:fill="DDDDDD"/>
          </w:tcPr>
          <w:p>
            <w:pPr>
              <w:pStyle w:val="TableParagraph"/>
              <w:spacing w:before="24"/>
              <w:ind w:left="61"/>
              <w:rPr>
                <w:sz w:val="17"/>
              </w:rPr>
            </w:pPr>
            <w:r>
              <w:rPr>
                <w:sz w:val="17"/>
              </w:rPr>
              <w:t>Municipal Service Delivery Specialist</w:t>
            </w:r>
          </w:p>
        </w:tc>
        <w:tc>
          <w:tcPr>
            <w:tcW w:w="3118" w:type="dxa"/>
            <w:gridSpan w:val="3"/>
            <w:shd w:val="clear" w:color="auto" w:fill="9DBEE4"/>
          </w:tcPr>
          <w:p>
            <w:pPr>
              <w:pStyle w:val="TableParagraph"/>
              <w:spacing w:before="24"/>
              <w:ind w:left="1"/>
              <w:rPr>
                <w:sz w:val="17"/>
              </w:rPr>
            </w:pPr>
            <w:hyperlink r:id="rId85">
              <w:r>
                <w:rPr>
                  <w:sz w:val="17"/>
                </w:rPr>
                <w:t>nehat.ramadani@prpkos.com</w:t>
              </w:r>
            </w:hyperlink>
          </w:p>
        </w:tc>
        <w:tc>
          <w:tcPr>
            <w:tcW w:w="1887" w:type="dxa"/>
            <w:shd w:val="clear" w:color="auto" w:fill="9DBEE4"/>
          </w:tcPr>
          <w:p>
            <w:pPr>
              <w:pStyle w:val="TableParagraph"/>
              <w:spacing w:before="24"/>
              <w:ind w:left="1"/>
              <w:rPr>
                <w:sz w:val="17"/>
              </w:rPr>
            </w:pPr>
            <w:r>
              <w:rPr>
                <w:sz w:val="17"/>
              </w:rPr>
              <w:t>Tetra Tech ARD</w:t>
            </w:r>
          </w:p>
        </w:tc>
        <w:tc>
          <w:tcPr>
            <w:tcW w:w="1899" w:type="dxa"/>
            <w:tcBorders>
              <w:right w:val="nil"/>
            </w:tcBorders>
            <w:shd w:val="clear" w:color="auto" w:fill="9DBEE4"/>
          </w:tcPr>
          <w:p>
            <w:pPr>
              <w:pStyle w:val="TableParagraph"/>
              <w:spacing w:before="24"/>
              <w:ind w:left="1"/>
              <w:rPr>
                <w:sz w:val="17"/>
              </w:rPr>
            </w:pPr>
            <w:r>
              <w:rPr>
                <w:sz w:val="17"/>
              </w:rPr>
              <w:t>Ongoing</w:t>
            </w:r>
          </w:p>
        </w:tc>
      </w:tr>
      <w:tr>
        <w:trPr>
          <w:trHeight w:val="246"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24"/>
              <w:rPr>
                <w:sz w:val="17"/>
              </w:rPr>
            </w:pPr>
            <w:r>
              <w:rPr>
                <w:sz w:val="17"/>
              </w:rPr>
              <w:t>5.</w:t>
            </w:r>
          </w:p>
        </w:tc>
        <w:tc>
          <w:tcPr>
            <w:tcW w:w="2364" w:type="dxa"/>
            <w:shd w:val="clear" w:color="auto" w:fill="DDDDDD"/>
          </w:tcPr>
          <w:p>
            <w:pPr>
              <w:pStyle w:val="TableParagraph"/>
              <w:spacing w:before="24"/>
              <w:rPr>
                <w:sz w:val="17"/>
              </w:rPr>
            </w:pPr>
            <w:r>
              <w:rPr>
                <w:sz w:val="17"/>
              </w:rPr>
              <w:t>Ms. Eremira Salihu</w:t>
            </w:r>
          </w:p>
        </w:tc>
        <w:tc>
          <w:tcPr>
            <w:tcW w:w="3451" w:type="dxa"/>
            <w:shd w:val="clear" w:color="auto" w:fill="DDDDDD"/>
          </w:tcPr>
          <w:p>
            <w:pPr>
              <w:pStyle w:val="TableParagraph"/>
              <w:spacing w:before="24"/>
              <w:ind w:left="61"/>
              <w:rPr>
                <w:sz w:val="17"/>
              </w:rPr>
            </w:pPr>
            <w:r>
              <w:rPr>
                <w:sz w:val="17"/>
              </w:rPr>
              <w:t>Municipal Processes Analyst</w:t>
            </w:r>
          </w:p>
        </w:tc>
        <w:tc>
          <w:tcPr>
            <w:tcW w:w="3118" w:type="dxa"/>
            <w:gridSpan w:val="3"/>
            <w:shd w:val="clear" w:color="auto" w:fill="9DBEE4"/>
          </w:tcPr>
          <w:p>
            <w:pPr>
              <w:pStyle w:val="TableParagraph"/>
              <w:spacing w:before="24"/>
              <w:ind w:left="1"/>
              <w:rPr>
                <w:sz w:val="17"/>
              </w:rPr>
            </w:pPr>
            <w:hyperlink r:id="rId86">
              <w:r>
                <w:rPr>
                  <w:sz w:val="17"/>
                </w:rPr>
                <w:t>eremira.salihu@prpkos.com</w:t>
              </w:r>
            </w:hyperlink>
          </w:p>
        </w:tc>
        <w:tc>
          <w:tcPr>
            <w:tcW w:w="1887" w:type="dxa"/>
            <w:shd w:val="clear" w:color="auto" w:fill="9DBEE4"/>
          </w:tcPr>
          <w:p>
            <w:pPr>
              <w:pStyle w:val="TableParagraph"/>
              <w:spacing w:before="24"/>
              <w:ind w:left="1"/>
              <w:rPr>
                <w:sz w:val="17"/>
              </w:rPr>
            </w:pPr>
            <w:r>
              <w:rPr>
                <w:sz w:val="17"/>
              </w:rPr>
              <w:t>Tetra Tech ARD</w:t>
            </w:r>
          </w:p>
        </w:tc>
        <w:tc>
          <w:tcPr>
            <w:tcW w:w="1899" w:type="dxa"/>
            <w:tcBorders>
              <w:right w:val="nil"/>
            </w:tcBorders>
            <w:shd w:val="clear" w:color="auto" w:fill="9DBEE4"/>
          </w:tcPr>
          <w:p>
            <w:pPr>
              <w:pStyle w:val="TableParagraph"/>
              <w:spacing w:before="24"/>
              <w:ind w:left="1"/>
              <w:rPr>
                <w:sz w:val="17"/>
              </w:rPr>
            </w:pPr>
            <w:r>
              <w:rPr>
                <w:sz w:val="17"/>
              </w:rPr>
              <w:t>Ongoing</w:t>
            </w:r>
          </w:p>
        </w:tc>
      </w:tr>
      <w:tr>
        <w:trPr>
          <w:trHeight w:val="217"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line="188" w:lineRule="exact" w:before="9"/>
              <w:rPr>
                <w:sz w:val="17"/>
              </w:rPr>
            </w:pPr>
            <w:r>
              <w:rPr>
                <w:sz w:val="17"/>
              </w:rPr>
              <w:t>6.</w:t>
            </w:r>
          </w:p>
        </w:tc>
        <w:tc>
          <w:tcPr>
            <w:tcW w:w="2364" w:type="dxa"/>
            <w:shd w:val="clear" w:color="auto" w:fill="DDDDDD"/>
          </w:tcPr>
          <w:p>
            <w:pPr>
              <w:pStyle w:val="TableParagraph"/>
              <w:spacing w:line="188" w:lineRule="exact" w:before="9"/>
              <w:rPr>
                <w:sz w:val="17"/>
              </w:rPr>
            </w:pPr>
            <w:r>
              <w:rPr>
                <w:sz w:val="17"/>
              </w:rPr>
              <w:t>Mr. Gent Salihu</w:t>
            </w:r>
          </w:p>
        </w:tc>
        <w:tc>
          <w:tcPr>
            <w:tcW w:w="3451" w:type="dxa"/>
            <w:shd w:val="clear" w:color="auto" w:fill="DDDDDD"/>
          </w:tcPr>
          <w:p>
            <w:pPr>
              <w:pStyle w:val="TableParagraph"/>
              <w:spacing w:line="188" w:lineRule="exact" w:before="9"/>
              <w:ind w:left="61"/>
              <w:rPr>
                <w:sz w:val="17"/>
              </w:rPr>
            </w:pPr>
            <w:r>
              <w:rPr>
                <w:sz w:val="17"/>
              </w:rPr>
              <w:t>Senior Rule of Law and Governance Advisor</w:t>
            </w:r>
          </w:p>
        </w:tc>
        <w:tc>
          <w:tcPr>
            <w:tcW w:w="3118" w:type="dxa"/>
            <w:gridSpan w:val="3"/>
            <w:shd w:val="clear" w:color="auto" w:fill="9DBEE4"/>
          </w:tcPr>
          <w:p>
            <w:pPr>
              <w:pStyle w:val="TableParagraph"/>
              <w:spacing w:line="188" w:lineRule="exact" w:before="9"/>
              <w:ind w:left="1"/>
              <w:rPr>
                <w:sz w:val="17"/>
              </w:rPr>
            </w:pPr>
            <w:hyperlink r:id="rId87">
              <w:r>
                <w:rPr>
                  <w:sz w:val="17"/>
                </w:rPr>
                <w:t>gent.salihu@prpkos.com</w:t>
              </w:r>
            </w:hyperlink>
          </w:p>
        </w:tc>
        <w:tc>
          <w:tcPr>
            <w:tcW w:w="1887" w:type="dxa"/>
            <w:shd w:val="clear" w:color="auto" w:fill="9DBEE4"/>
          </w:tcPr>
          <w:p>
            <w:pPr>
              <w:pStyle w:val="TableParagraph"/>
              <w:spacing w:line="188" w:lineRule="exact" w:before="9"/>
              <w:ind w:left="1"/>
              <w:rPr>
                <w:sz w:val="17"/>
              </w:rPr>
            </w:pPr>
            <w:r>
              <w:rPr>
                <w:sz w:val="17"/>
              </w:rPr>
              <w:t>Tetra Tech ARD</w:t>
            </w:r>
          </w:p>
        </w:tc>
        <w:tc>
          <w:tcPr>
            <w:tcW w:w="1899" w:type="dxa"/>
            <w:tcBorders>
              <w:right w:val="nil"/>
            </w:tcBorders>
            <w:shd w:val="clear" w:color="auto" w:fill="9DBEE4"/>
          </w:tcPr>
          <w:p>
            <w:pPr>
              <w:pStyle w:val="TableParagraph"/>
              <w:spacing w:line="188" w:lineRule="exact" w:before="9"/>
              <w:ind w:left="1"/>
              <w:rPr>
                <w:sz w:val="17"/>
              </w:rPr>
            </w:pPr>
            <w:r>
              <w:rPr>
                <w:sz w:val="17"/>
              </w:rPr>
              <w:t>Ongoing</w:t>
            </w:r>
          </w:p>
        </w:tc>
      </w:tr>
      <w:tr>
        <w:trPr>
          <w:trHeight w:val="245"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24"/>
              <w:rPr>
                <w:sz w:val="17"/>
              </w:rPr>
            </w:pPr>
            <w:r>
              <w:rPr>
                <w:sz w:val="17"/>
              </w:rPr>
              <w:t>7.</w:t>
            </w:r>
          </w:p>
        </w:tc>
        <w:tc>
          <w:tcPr>
            <w:tcW w:w="2364" w:type="dxa"/>
            <w:shd w:val="clear" w:color="auto" w:fill="DDDDDD"/>
          </w:tcPr>
          <w:p>
            <w:pPr>
              <w:pStyle w:val="TableParagraph"/>
              <w:spacing w:before="24"/>
              <w:rPr>
                <w:sz w:val="17"/>
              </w:rPr>
            </w:pPr>
            <w:r>
              <w:rPr>
                <w:sz w:val="17"/>
              </w:rPr>
              <w:t>Ms. Vjosa Shkodra</w:t>
            </w:r>
          </w:p>
        </w:tc>
        <w:tc>
          <w:tcPr>
            <w:tcW w:w="3451" w:type="dxa"/>
            <w:shd w:val="clear" w:color="auto" w:fill="DDDDDD"/>
          </w:tcPr>
          <w:p>
            <w:pPr>
              <w:pStyle w:val="TableParagraph"/>
              <w:spacing w:before="24"/>
              <w:ind w:left="61"/>
              <w:rPr>
                <w:sz w:val="17"/>
              </w:rPr>
            </w:pPr>
            <w:r>
              <w:rPr>
                <w:sz w:val="17"/>
              </w:rPr>
              <w:t>Special Advisor on Rule of Law and Civil Society</w:t>
            </w:r>
          </w:p>
        </w:tc>
        <w:tc>
          <w:tcPr>
            <w:tcW w:w="3118" w:type="dxa"/>
            <w:gridSpan w:val="3"/>
            <w:shd w:val="clear" w:color="auto" w:fill="9DBEE4"/>
          </w:tcPr>
          <w:p>
            <w:pPr>
              <w:pStyle w:val="TableParagraph"/>
              <w:spacing w:before="24"/>
              <w:ind w:left="1"/>
              <w:rPr>
                <w:sz w:val="17"/>
              </w:rPr>
            </w:pPr>
            <w:hyperlink r:id="rId88">
              <w:r>
                <w:rPr>
                  <w:sz w:val="17"/>
                </w:rPr>
                <w:t>vjosa.shkodra@prpkos.com</w:t>
              </w:r>
            </w:hyperlink>
          </w:p>
        </w:tc>
        <w:tc>
          <w:tcPr>
            <w:tcW w:w="1887" w:type="dxa"/>
            <w:shd w:val="clear" w:color="auto" w:fill="9DBEE4"/>
          </w:tcPr>
          <w:p>
            <w:pPr>
              <w:pStyle w:val="TableParagraph"/>
              <w:spacing w:before="24"/>
              <w:ind w:left="1"/>
              <w:rPr>
                <w:sz w:val="17"/>
              </w:rPr>
            </w:pPr>
            <w:r>
              <w:rPr>
                <w:sz w:val="17"/>
              </w:rPr>
              <w:t>Tetra Tech ARD</w:t>
            </w:r>
          </w:p>
        </w:tc>
        <w:tc>
          <w:tcPr>
            <w:tcW w:w="1899" w:type="dxa"/>
            <w:tcBorders>
              <w:right w:val="nil"/>
            </w:tcBorders>
            <w:shd w:val="clear" w:color="auto" w:fill="9DBEE4"/>
          </w:tcPr>
          <w:p>
            <w:pPr>
              <w:pStyle w:val="TableParagraph"/>
              <w:spacing w:before="24"/>
              <w:ind w:left="1"/>
              <w:rPr>
                <w:sz w:val="17"/>
              </w:rPr>
            </w:pPr>
            <w:r>
              <w:rPr>
                <w:sz w:val="17"/>
              </w:rPr>
              <w:t>Ongoing</w:t>
            </w:r>
          </w:p>
        </w:tc>
      </w:tr>
      <w:tr>
        <w:trPr>
          <w:trHeight w:val="260"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31"/>
              <w:rPr>
                <w:sz w:val="17"/>
              </w:rPr>
            </w:pPr>
            <w:r>
              <w:rPr>
                <w:sz w:val="17"/>
              </w:rPr>
              <w:t>8.</w:t>
            </w:r>
          </w:p>
        </w:tc>
        <w:tc>
          <w:tcPr>
            <w:tcW w:w="2364" w:type="dxa"/>
            <w:shd w:val="clear" w:color="auto" w:fill="DDDDDD"/>
          </w:tcPr>
          <w:p>
            <w:pPr>
              <w:pStyle w:val="TableParagraph"/>
              <w:spacing w:before="31"/>
              <w:rPr>
                <w:sz w:val="17"/>
              </w:rPr>
            </w:pPr>
            <w:r>
              <w:rPr>
                <w:sz w:val="17"/>
              </w:rPr>
              <w:t>Mr. Driton Zeqiri</w:t>
            </w:r>
          </w:p>
        </w:tc>
        <w:tc>
          <w:tcPr>
            <w:tcW w:w="3451" w:type="dxa"/>
            <w:shd w:val="clear" w:color="auto" w:fill="DDDDDD"/>
          </w:tcPr>
          <w:p>
            <w:pPr>
              <w:pStyle w:val="TableParagraph"/>
              <w:spacing w:before="31"/>
              <w:ind w:left="61"/>
              <w:rPr>
                <w:sz w:val="17"/>
              </w:rPr>
            </w:pPr>
            <w:r>
              <w:rPr>
                <w:sz w:val="17"/>
              </w:rPr>
              <w:t>Monitoring and Evaluation Specialist</w:t>
            </w:r>
          </w:p>
        </w:tc>
        <w:tc>
          <w:tcPr>
            <w:tcW w:w="3118" w:type="dxa"/>
            <w:gridSpan w:val="3"/>
            <w:shd w:val="clear" w:color="auto" w:fill="9DBEE4"/>
          </w:tcPr>
          <w:p>
            <w:pPr>
              <w:pStyle w:val="TableParagraph"/>
              <w:spacing w:before="31"/>
              <w:ind w:left="1"/>
              <w:rPr>
                <w:sz w:val="17"/>
              </w:rPr>
            </w:pPr>
            <w:hyperlink r:id="rId89">
              <w:r>
                <w:rPr>
                  <w:sz w:val="17"/>
                </w:rPr>
                <w:t>driton.zeqiri@prpkos.com</w:t>
              </w:r>
            </w:hyperlink>
          </w:p>
        </w:tc>
        <w:tc>
          <w:tcPr>
            <w:tcW w:w="1887" w:type="dxa"/>
            <w:shd w:val="clear" w:color="auto" w:fill="9DBEE4"/>
          </w:tcPr>
          <w:p>
            <w:pPr>
              <w:pStyle w:val="TableParagraph"/>
              <w:spacing w:before="31"/>
              <w:ind w:left="1"/>
              <w:rPr>
                <w:sz w:val="17"/>
              </w:rPr>
            </w:pPr>
            <w:r>
              <w:rPr>
                <w:sz w:val="17"/>
              </w:rPr>
              <w:t>Tetra Tech ARD</w:t>
            </w:r>
          </w:p>
        </w:tc>
        <w:tc>
          <w:tcPr>
            <w:tcW w:w="1899" w:type="dxa"/>
            <w:tcBorders>
              <w:right w:val="nil"/>
            </w:tcBorders>
            <w:shd w:val="clear" w:color="auto" w:fill="9DBEE4"/>
          </w:tcPr>
          <w:p>
            <w:pPr>
              <w:pStyle w:val="TableParagraph"/>
              <w:spacing w:before="31"/>
              <w:ind w:left="1"/>
              <w:rPr>
                <w:sz w:val="17"/>
              </w:rPr>
            </w:pPr>
            <w:r>
              <w:rPr>
                <w:sz w:val="17"/>
              </w:rPr>
              <w:t>Ongoing</w:t>
            </w:r>
          </w:p>
        </w:tc>
      </w:tr>
      <w:tr>
        <w:trPr>
          <w:trHeight w:val="243"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24"/>
              <w:rPr>
                <w:sz w:val="17"/>
              </w:rPr>
            </w:pPr>
            <w:r>
              <w:rPr>
                <w:sz w:val="17"/>
              </w:rPr>
              <w:t>9.</w:t>
            </w:r>
          </w:p>
        </w:tc>
        <w:tc>
          <w:tcPr>
            <w:tcW w:w="2364" w:type="dxa"/>
            <w:shd w:val="clear" w:color="auto" w:fill="DDDDDD"/>
          </w:tcPr>
          <w:p>
            <w:pPr>
              <w:pStyle w:val="TableParagraph"/>
              <w:spacing w:before="24"/>
              <w:rPr>
                <w:sz w:val="17"/>
              </w:rPr>
            </w:pPr>
            <w:r>
              <w:rPr>
                <w:sz w:val="17"/>
              </w:rPr>
              <w:t>Ms. Hana Limani</w:t>
            </w:r>
          </w:p>
        </w:tc>
        <w:tc>
          <w:tcPr>
            <w:tcW w:w="3451" w:type="dxa"/>
            <w:shd w:val="clear" w:color="auto" w:fill="DDDDDD"/>
          </w:tcPr>
          <w:p>
            <w:pPr>
              <w:pStyle w:val="TableParagraph"/>
              <w:spacing w:before="24"/>
              <w:ind w:left="61"/>
              <w:rPr>
                <w:sz w:val="17"/>
              </w:rPr>
            </w:pPr>
            <w:r>
              <w:rPr>
                <w:sz w:val="17"/>
              </w:rPr>
              <w:t>Communications and Public Outreach Mgr.</w:t>
            </w:r>
          </w:p>
        </w:tc>
        <w:tc>
          <w:tcPr>
            <w:tcW w:w="3118" w:type="dxa"/>
            <w:gridSpan w:val="3"/>
            <w:shd w:val="clear" w:color="auto" w:fill="9DBEE4"/>
          </w:tcPr>
          <w:p>
            <w:pPr>
              <w:pStyle w:val="TableParagraph"/>
              <w:spacing w:before="24"/>
              <w:ind w:left="1"/>
              <w:rPr>
                <w:sz w:val="17"/>
              </w:rPr>
            </w:pPr>
            <w:hyperlink r:id="rId90">
              <w:r>
                <w:rPr>
                  <w:sz w:val="17"/>
                </w:rPr>
                <w:t>hana.limani@prpkos.com</w:t>
              </w:r>
            </w:hyperlink>
          </w:p>
        </w:tc>
        <w:tc>
          <w:tcPr>
            <w:tcW w:w="1887" w:type="dxa"/>
            <w:shd w:val="clear" w:color="auto" w:fill="9DBEE4"/>
          </w:tcPr>
          <w:p>
            <w:pPr>
              <w:pStyle w:val="TableParagraph"/>
              <w:spacing w:before="24"/>
              <w:ind w:left="1"/>
              <w:rPr>
                <w:sz w:val="17"/>
              </w:rPr>
            </w:pPr>
            <w:r>
              <w:rPr>
                <w:sz w:val="17"/>
              </w:rPr>
              <w:t>Tetra Tech ARD</w:t>
            </w:r>
          </w:p>
        </w:tc>
        <w:tc>
          <w:tcPr>
            <w:tcW w:w="1899" w:type="dxa"/>
            <w:tcBorders>
              <w:right w:val="nil"/>
            </w:tcBorders>
            <w:shd w:val="clear" w:color="auto" w:fill="9DBEE4"/>
          </w:tcPr>
          <w:p>
            <w:pPr>
              <w:pStyle w:val="TableParagraph"/>
              <w:spacing w:before="24"/>
              <w:ind w:left="1"/>
              <w:rPr>
                <w:sz w:val="17"/>
              </w:rPr>
            </w:pPr>
            <w:r>
              <w:rPr>
                <w:sz w:val="17"/>
              </w:rPr>
              <w:t>Ongoing</w:t>
            </w:r>
          </w:p>
        </w:tc>
      </w:tr>
      <w:tr>
        <w:trPr>
          <w:trHeight w:val="262"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33"/>
              <w:rPr>
                <w:sz w:val="17"/>
              </w:rPr>
            </w:pPr>
            <w:r>
              <w:rPr>
                <w:sz w:val="17"/>
              </w:rPr>
              <w:t>10.</w:t>
            </w:r>
          </w:p>
        </w:tc>
        <w:tc>
          <w:tcPr>
            <w:tcW w:w="2364" w:type="dxa"/>
            <w:shd w:val="clear" w:color="auto" w:fill="DDDDDD"/>
          </w:tcPr>
          <w:p>
            <w:pPr>
              <w:pStyle w:val="TableParagraph"/>
              <w:spacing w:before="33"/>
              <w:rPr>
                <w:sz w:val="17"/>
              </w:rPr>
            </w:pPr>
            <w:r>
              <w:rPr>
                <w:sz w:val="17"/>
              </w:rPr>
              <w:t>Mr. Fadil Sadiku</w:t>
            </w:r>
          </w:p>
        </w:tc>
        <w:tc>
          <w:tcPr>
            <w:tcW w:w="3451" w:type="dxa"/>
            <w:shd w:val="clear" w:color="auto" w:fill="DDDDDD"/>
          </w:tcPr>
          <w:p>
            <w:pPr>
              <w:pStyle w:val="TableParagraph"/>
              <w:spacing w:before="33"/>
              <w:ind w:left="61"/>
              <w:rPr>
                <w:sz w:val="17"/>
              </w:rPr>
            </w:pPr>
            <w:r>
              <w:rPr>
                <w:sz w:val="17"/>
              </w:rPr>
              <w:t>Administration Manager</w:t>
            </w:r>
          </w:p>
        </w:tc>
        <w:tc>
          <w:tcPr>
            <w:tcW w:w="3118" w:type="dxa"/>
            <w:gridSpan w:val="3"/>
            <w:shd w:val="clear" w:color="auto" w:fill="9DBEE4"/>
          </w:tcPr>
          <w:p>
            <w:pPr>
              <w:pStyle w:val="TableParagraph"/>
              <w:spacing w:before="33"/>
              <w:ind w:left="1"/>
              <w:rPr>
                <w:sz w:val="17"/>
              </w:rPr>
            </w:pPr>
            <w:hyperlink r:id="rId91">
              <w:r>
                <w:rPr>
                  <w:sz w:val="17"/>
                </w:rPr>
                <w:t>fadil.sadiku@prpkos.com</w:t>
              </w:r>
            </w:hyperlink>
          </w:p>
        </w:tc>
        <w:tc>
          <w:tcPr>
            <w:tcW w:w="1887" w:type="dxa"/>
            <w:shd w:val="clear" w:color="auto" w:fill="9DBEE4"/>
          </w:tcPr>
          <w:p>
            <w:pPr>
              <w:pStyle w:val="TableParagraph"/>
              <w:spacing w:before="33"/>
              <w:ind w:left="1"/>
              <w:rPr>
                <w:sz w:val="17"/>
              </w:rPr>
            </w:pPr>
            <w:r>
              <w:rPr>
                <w:sz w:val="17"/>
              </w:rPr>
              <w:t>Tetra Tech ARD</w:t>
            </w:r>
          </w:p>
        </w:tc>
        <w:tc>
          <w:tcPr>
            <w:tcW w:w="1899" w:type="dxa"/>
            <w:tcBorders>
              <w:right w:val="nil"/>
            </w:tcBorders>
            <w:shd w:val="clear" w:color="auto" w:fill="9DBEE4"/>
          </w:tcPr>
          <w:p>
            <w:pPr>
              <w:pStyle w:val="TableParagraph"/>
              <w:spacing w:before="33"/>
              <w:ind w:left="1"/>
              <w:rPr>
                <w:sz w:val="17"/>
              </w:rPr>
            </w:pPr>
            <w:r>
              <w:rPr>
                <w:sz w:val="17"/>
              </w:rPr>
              <w:t>Ongoing</w:t>
            </w:r>
          </w:p>
        </w:tc>
      </w:tr>
      <w:tr>
        <w:trPr>
          <w:trHeight w:val="243"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24"/>
              <w:rPr>
                <w:sz w:val="17"/>
              </w:rPr>
            </w:pPr>
            <w:r>
              <w:rPr>
                <w:sz w:val="17"/>
              </w:rPr>
              <w:t>11.</w:t>
            </w:r>
          </w:p>
        </w:tc>
        <w:tc>
          <w:tcPr>
            <w:tcW w:w="2364" w:type="dxa"/>
            <w:shd w:val="clear" w:color="auto" w:fill="DDDDDD"/>
          </w:tcPr>
          <w:p>
            <w:pPr>
              <w:pStyle w:val="TableParagraph"/>
              <w:spacing w:before="24"/>
              <w:rPr>
                <w:sz w:val="17"/>
              </w:rPr>
            </w:pPr>
            <w:r>
              <w:rPr>
                <w:sz w:val="17"/>
              </w:rPr>
              <w:t>Mr. Sherafedin Shehu</w:t>
            </w:r>
          </w:p>
        </w:tc>
        <w:tc>
          <w:tcPr>
            <w:tcW w:w="3451" w:type="dxa"/>
            <w:shd w:val="clear" w:color="auto" w:fill="DDDDDD"/>
          </w:tcPr>
          <w:p>
            <w:pPr>
              <w:pStyle w:val="TableParagraph"/>
              <w:spacing w:before="24"/>
              <w:ind w:left="61"/>
              <w:rPr>
                <w:sz w:val="17"/>
              </w:rPr>
            </w:pPr>
            <w:r>
              <w:rPr>
                <w:sz w:val="17"/>
              </w:rPr>
              <w:t>Accounting and Finance Manager</w:t>
            </w:r>
          </w:p>
        </w:tc>
        <w:tc>
          <w:tcPr>
            <w:tcW w:w="3118" w:type="dxa"/>
            <w:gridSpan w:val="3"/>
            <w:shd w:val="clear" w:color="auto" w:fill="9DBEE4"/>
          </w:tcPr>
          <w:p>
            <w:pPr>
              <w:pStyle w:val="TableParagraph"/>
              <w:spacing w:before="24"/>
              <w:ind w:left="1"/>
              <w:rPr>
                <w:sz w:val="17"/>
              </w:rPr>
            </w:pPr>
            <w:hyperlink r:id="rId92">
              <w:r>
                <w:rPr>
                  <w:sz w:val="17"/>
                </w:rPr>
                <w:t>sherafedin.shehu@prpkos.com</w:t>
              </w:r>
            </w:hyperlink>
          </w:p>
        </w:tc>
        <w:tc>
          <w:tcPr>
            <w:tcW w:w="1887" w:type="dxa"/>
            <w:shd w:val="clear" w:color="auto" w:fill="9DBEE4"/>
          </w:tcPr>
          <w:p>
            <w:pPr>
              <w:pStyle w:val="TableParagraph"/>
              <w:spacing w:before="24"/>
              <w:ind w:left="1"/>
              <w:rPr>
                <w:sz w:val="17"/>
              </w:rPr>
            </w:pPr>
            <w:r>
              <w:rPr>
                <w:sz w:val="17"/>
              </w:rPr>
              <w:t>Tetra Tech ARD</w:t>
            </w:r>
          </w:p>
        </w:tc>
        <w:tc>
          <w:tcPr>
            <w:tcW w:w="1899" w:type="dxa"/>
            <w:tcBorders>
              <w:right w:val="nil"/>
            </w:tcBorders>
            <w:shd w:val="clear" w:color="auto" w:fill="9DBEE4"/>
          </w:tcPr>
          <w:p>
            <w:pPr>
              <w:pStyle w:val="TableParagraph"/>
              <w:spacing w:before="24"/>
              <w:ind w:left="1"/>
              <w:rPr>
                <w:sz w:val="17"/>
              </w:rPr>
            </w:pPr>
            <w:r>
              <w:rPr>
                <w:sz w:val="17"/>
              </w:rPr>
              <w:t>Ongoing</w:t>
            </w:r>
          </w:p>
        </w:tc>
      </w:tr>
      <w:tr>
        <w:trPr>
          <w:trHeight w:val="260"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33"/>
              <w:rPr>
                <w:sz w:val="17"/>
              </w:rPr>
            </w:pPr>
            <w:r>
              <w:rPr>
                <w:sz w:val="17"/>
              </w:rPr>
              <w:t>12.</w:t>
            </w:r>
          </w:p>
        </w:tc>
        <w:tc>
          <w:tcPr>
            <w:tcW w:w="2364" w:type="dxa"/>
            <w:shd w:val="clear" w:color="auto" w:fill="DDDDDD"/>
          </w:tcPr>
          <w:p>
            <w:pPr>
              <w:pStyle w:val="TableParagraph"/>
              <w:spacing w:before="33"/>
              <w:rPr>
                <w:sz w:val="17"/>
              </w:rPr>
            </w:pPr>
            <w:r>
              <w:rPr>
                <w:sz w:val="17"/>
              </w:rPr>
              <w:t>Mr. Sejdi Mustafa</w:t>
            </w:r>
          </w:p>
        </w:tc>
        <w:tc>
          <w:tcPr>
            <w:tcW w:w="3451" w:type="dxa"/>
            <w:shd w:val="clear" w:color="auto" w:fill="DDDDDD"/>
          </w:tcPr>
          <w:p>
            <w:pPr>
              <w:pStyle w:val="TableParagraph"/>
              <w:spacing w:before="33"/>
              <w:ind w:left="61"/>
              <w:rPr>
                <w:sz w:val="17"/>
              </w:rPr>
            </w:pPr>
            <w:r>
              <w:rPr>
                <w:sz w:val="17"/>
              </w:rPr>
              <w:t>Driver &amp; Administrative Assistant</w:t>
            </w:r>
          </w:p>
        </w:tc>
        <w:tc>
          <w:tcPr>
            <w:tcW w:w="3118" w:type="dxa"/>
            <w:gridSpan w:val="3"/>
            <w:shd w:val="clear" w:color="auto" w:fill="9DBEE4"/>
          </w:tcPr>
          <w:p>
            <w:pPr>
              <w:pStyle w:val="TableParagraph"/>
              <w:spacing w:before="33"/>
              <w:ind w:left="1"/>
              <w:rPr>
                <w:sz w:val="17"/>
              </w:rPr>
            </w:pPr>
            <w:hyperlink r:id="rId93">
              <w:r>
                <w:rPr>
                  <w:sz w:val="17"/>
                </w:rPr>
                <w:t>sejdimustafa74@gmail.com</w:t>
              </w:r>
            </w:hyperlink>
          </w:p>
        </w:tc>
        <w:tc>
          <w:tcPr>
            <w:tcW w:w="1887" w:type="dxa"/>
            <w:shd w:val="clear" w:color="auto" w:fill="9DBEE4"/>
          </w:tcPr>
          <w:p>
            <w:pPr>
              <w:pStyle w:val="TableParagraph"/>
              <w:spacing w:before="33"/>
              <w:ind w:left="1"/>
              <w:rPr>
                <w:sz w:val="17"/>
              </w:rPr>
            </w:pPr>
            <w:r>
              <w:rPr>
                <w:sz w:val="17"/>
              </w:rPr>
              <w:t>Tetra Tech ARD</w:t>
            </w:r>
          </w:p>
        </w:tc>
        <w:tc>
          <w:tcPr>
            <w:tcW w:w="1899" w:type="dxa"/>
            <w:tcBorders>
              <w:right w:val="nil"/>
            </w:tcBorders>
            <w:shd w:val="clear" w:color="auto" w:fill="9DBEE4"/>
          </w:tcPr>
          <w:p>
            <w:pPr>
              <w:pStyle w:val="TableParagraph"/>
              <w:spacing w:before="33"/>
              <w:ind w:left="1"/>
              <w:rPr>
                <w:sz w:val="17"/>
              </w:rPr>
            </w:pPr>
            <w:r>
              <w:rPr>
                <w:sz w:val="17"/>
              </w:rPr>
              <w:t>Ongoing</w:t>
            </w:r>
          </w:p>
        </w:tc>
      </w:tr>
      <w:tr>
        <w:trPr>
          <w:trHeight w:val="291"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vMerge w:val="restart"/>
            <w:shd w:val="clear" w:color="auto" w:fill="DDDDDD"/>
          </w:tcPr>
          <w:p>
            <w:pPr>
              <w:pStyle w:val="TableParagraph"/>
              <w:spacing w:before="132"/>
              <w:rPr>
                <w:sz w:val="17"/>
              </w:rPr>
            </w:pPr>
            <w:r>
              <w:rPr>
                <w:sz w:val="17"/>
              </w:rPr>
              <w:t>13.</w:t>
            </w:r>
          </w:p>
        </w:tc>
        <w:tc>
          <w:tcPr>
            <w:tcW w:w="2364" w:type="dxa"/>
            <w:vMerge w:val="restart"/>
            <w:shd w:val="clear" w:color="auto" w:fill="DDDDDD"/>
          </w:tcPr>
          <w:p>
            <w:pPr>
              <w:pStyle w:val="TableParagraph"/>
              <w:spacing w:before="132"/>
              <w:rPr>
                <w:sz w:val="17"/>
              </w:rPr>
            </w:pPr>
            <w:r>
              <w:rPr>
                <w:sz w:val="17"/>
              </w:rPr>
              <w:t>Ms. Kreshnike Zymberi</w:t>
            </w:r>
          </w:p>
        </w:tc>
        <w:tc>
          <w:tcPr>
            <w:tcW w:w="3451" w:type="dxa"/>
            <w:vMerge w:val="restart"/>
            <w:shd w:val="clear" w:color="auto" w:fill="DDDDDD"/>
          </w:tcPr>
          <w:p>
            <w:pPr>
              <w:pStyle w:val="TableParagraph"/>
              <w:spacing w:line="242" w:lineRule="auto" w:before="33"/>
              <w:ind w:left="61"/>
              <w:rPr>
                <w:sz w:val="17"/>
              </w:rPr>
            </w:pPr>
            <w:r>
              <w:rPr>
                <w:sz w:val="17"/>
              </w:rPr>
              <w:t>Court Record Management Spc. (Ferizaj/Uroševac)</w:t>
            </w:r>
          </w:p>
        </w:tc>
        <w:tc>
          <w:tcPr>
            <w:tcW w:w="3118" w:type="dxa"/>
            <w:gridSpan w:val="3"/>
            <w:tcBorders>
              <w:bottom w:val="nil"/>
            </w:tcBorders>
            <w:shd w:val="clear" w:color="auto" w:fill="9DBEE4"/>
          </w:tcPr>
          <w:p>
            <w:pPr>
              <w:pStyle w:val="TableParagraph"/>
              <w:spacing w:line="140" w:lineRule="exact" w:before="132"/>
              <w:ind w:left="1"/>
              <w:rPr>
                <w:sz w:val="17"/>
              </w:rPr>
            </w:pPr>
            <w:hyperlink r:id="rId94">
              <w:r>
                <w:rPr>
                  <w:sz w:val="17"/>
                </w:rPr>
                <w:t>kreshnike.zymberi@prpkos.com</w:t>
              </w:r>
            </w:hyperlink>
          </w:p>
        </w:tc>
        <w:tc>
          <w:tcPr>
            <w:tcW w:w="1887" w:type="dxa"/>
            <w:vMerge w:val="restart"/>
            <w:shd w:val="clear" w:color="auto" w:fill="9DBEE4"/>
          </w:tcPr>
          <w:p>
            <w:pPr>
              <w:pStyle w:val="TableParagraph"/>
              <w:spacing w:before="132"/>
              <w:ind w:left="1"/>
              <w:rPr>
                <w:sz w:val="17"/>
              </w:rPr>
            </w:pPr>
            <w:r>
              <w:rPr>
                <w:sz w:val="17"/>
              </w:rPr>
              <w:t>Tetra Tech DPK</w:t>
            </w:r>
          </w:p>
        </w:tc>
        <w:tc>
          <w:tcPr>
            <w:tcW w:w="1899" w:type="dxa"/>
            <w:vMerge w:val="restart"/>
            <w:tcBorders>
              <w:right w:val="nil"/>
            </w:tcBorders>
            <w:shd w:val="clear" w:color="auto" w:fill="9DBEE4"/>
          </w:tcPr>
          <w:p>
            <w:pPr>
              <w:pStyle w:val="TableParagraph"/>
              <w:spacing w:before="132"/>
              <w:ind w:left="1"/>
              <w:rPr>
                <w:sz w:val="17"/>
              </w:rPr>
            </w:pPr>
            <w:r>
              <w:rPr>
                <w:sz w:val="17"/>
              </w:rPr>
              <w:t>Ongoing</w:t>
            </w:r>
          </w:p>
        </w:tc>
      </w:tr>
      <w:tr>
        <w:trPr>
          <w:trHeight w:val="140"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vMerge/>
            <w:tcBorders>
              <w:top w:val="nil"/>
            </w:tcBorders>
            <w:shd w:val="clear" w:color="auto" w:fill="DDDDDD"/>
          </w:tcPr>
          <w:p>
            <w:pPr>
              <w:rPr>
                <w:sz w:val="2"/>
                <w:szCs w:val="2"/>
              </w:rPr>
            </w:pPr>
          </w:p>
        </w:tc>
        <w:tc>
          <w:tcPr>
            <w:tcW w:w="2364" w:type="dxa"/>
            <w:vMerge/>
            <w:tcBorders>
              <w:top w:val="nil"/>
            </w:tcBorders>
            <w:shd w:val="clear" w:color="auto" w:fill="DDDDDD"/>
          </w:tcPr>
          <w:p>
            <w:pPr>
              <w:rPr>
                <w:sz w:val="2"/>
                <w:szCs w:val="2"/>
              </w:rPr>
            </w:pPr>
          </w:p>
        </w:tc>
        <w:tc>
          <w:tcPr>
            <w:tcW w:w="3451" w:type="dxa"/>
            <w:vMerge/>
            <w:tcBorders>
              <w:top w:val="nil"/>
            </w:tcBorders>
            <w:shd w:val="clear" w:color="auto" w:fill="DDDDDD"/>
          </w:tcPr>
          <w:p>
            <w:pPr>
              <w:rPr>
                <w:sz w:val="2"/>
                <w:szCs w:val="2"/>
              </w:rPr>
            </w:pPr>
          </w:p>
        </w:tc>
        <w:tc>
          <w:tcPr>
            <w:tcW w:w="2244" w:type="dxa"/>
            <w:gridSpan w:val="2"/>
            <w:tcBorders>
              <w:top w:val="single" w:sz="4" w:space="0" w:color="000000"/>
              <w:right w:val="nil"/>
            </w:tcBorders>
            <w:shd w:val="clear" w:color="auto" w:fill="9DBEE4"/>
          </w:tcPr>
          <w:p>
            <w:pPr>
              <w:pStyle w:val="TableParagraph"/>
              <w:rPr>
                <w:rFonts w:ascii="Times New Roman"/>
                <w:sz w:val="8"/>
              </w:rPr>
            </w:pPr>
          </w:p>
        </w:tc>
        <w:tc>
          <w:tcPr>
            <w:tcW w:w="874" w:type="dxa"/>
            <w:tcBorders>
              <w:top w:val="nil"/>
              <w:left w:val="nil"/>
            </w:tcBorders>
            <w:shd w:val="clear" w:color="auto" w:fill="9DBEE4"/>
          </w:tcPr>
          <w:p>
            <w:pPr>
              <w:pStyle w:val="TableParagraph"/>
              <w:rPr>
                <w:rFonts w:ascii="Times New Roman"/>
                <w:sz w:val="8"/>
              </w:rPr>
            </w:pPr>
          </w:p>
        </w:tc>
        <w:tc>
          <w:tcPr>
            <w:tcW w:w="1887" w:type="dxa"/>
            <w:vMerge/>
            <w:tcBorders>
              <w:top w:val="nil"/>
            </w:tcBorders>
            <w:shd w:val="clear" w:color="auto" w:fill="9DBEE4"/>
          </w:tcPr>
          <w:p>
            <w:pPr>
              <w:rPr>
                <w:sz w:val="2"/>
                <w:szCs w:val="2"/>
              </w:rPr>
            </w:pPr>
          </w:p>
        </w:tc>
        <w:tc>
          <w:tcPr>
            <w:tcW w:w="1899" w:type="dxa"/>
            <w:vMerge/>
            <w:tcBorders>
              <w:top w:val="nil"/>
              <w:right w:val="nil"/>
            </w:tcBorders>
            <w:shd w:val="clear" w:color="auto" w:fill="9DBEE4"/>
          </w:tcPr>
          <w:p>
            <w:pPr>
              <w:rPr>
                <w:sz w:val="2"/>
                <w:szCs w:val="2"/>
              </w:rPr>
            </w:pPr>
          </w:p>
        </w:tc>
      </w:tr>
      <w:tr>
        <w:trPr>
          <w:trHeight w:val="298"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vMerge w:val="restart"/>
            <w:shd w:val="clear" w:color="auto" w:fill="DDDDDD"/>
          </w:tcPr>
          <w:p>
            <w:pPr>
              <w:pStyle w:val="TableParagraph"/>
              <w:spacing w:before="139"/>
              <w:rPr>
                <w:sz w:val="17"/>
              </w:rPr>
            </w:pPr>
            <w:r>
              <w:rPr>
                <w:sz w:val="17"/>
              </w:rPr>
              <w:t>14.</w:t>
            </w:r>
          </w:p>
        </w:tc>
        <w:tc>
          <w:tcPr>
            <w:tcW w:w="2364" w:type="dxa"/>
            <w:vMerge w:val="restart"/>
            <w:shd w:val="clear" w:color="auto" w:fill="DDDDDD"/>
          </w:tcPr>
          <w:p>
            <w:pPr>
              <w:pStyle w:val="TableParagraph"/>
              <w:spacing w:before="139"/>
              <w:rPr>
                <w:sz w:val="17"/>
              </w:rPr>
            </w:pPr>
            <w:r>
              <w:rPr>
                <w:sz w:val="17"/>
              </w:rPr>
              <w:t>Ms. Kaltrina Haliti</w:t>
            </w:r>
          </w:p>
        </w:tc>
        <w:tc>
          <w:tcPr>
            <w:tcW w:w="3451" w:type="dxa"/>
            <w:vMerge w:val="restart"/>
            <w:shd w:val="clear" w:color="auto" w:fill="DDDDDD"/>
          </w:tcPr>
          <w:p>
            <w:pPr>
              <w:pStyle w:val="TableParagraph"/>
              <w:spacing w:before="139"/>
              <w:ind w:left="61"/>
              <w:rPr>
                <w:sz w:val="17"/>
              </w:rPr>
            </w:pPr>
            <w:r>
              <w:rPr>
                <w:sz w:val="17"/>
              </w:rPr>
              <w:t>Court Record Management Spc. (Gjilan/Gnjilane)</w:t>
            </w:r>
          </w:p>
        </w:tc>
        <w:tc>
          <w:tcPr>
            <w:tcW w:w="3118" w:type="dxa"/>
            <w:gridSpan w:val="3"/>
            <w:tcBorders>
              <w:bottom w:val="nil"/>
            </w:tcBorders>
            <w:shd w:val="clear" w:color="auto" w:fill="9DBEE4"/>
          </w:tcPr>
          <w:p>
            <w:pPr>
              <w:pStyle w:val="TableParagraph"/>
              <w:spacing w:line="140" w:lineRule="exact" w:before="139"/>
              <w:ind w:left="1"/>
              <w:rPr>
                <w:sz w:val="17"/>
              </w:rPr>
            </w:pPr>
            <w:hyperlink r:id="rId95">
              <w:r>
                <w:rPr>
                  <w:sz w:val="17"/>
                </w:rPr>
                <w:t>kaltrina.haliti@prpkos.com</w:t>
              </w:r>
            </w:hyperlink>
          </w:p>
        </w:tc>
        <w:tc>
          <w:tcPr>
            <w:tcW w:w="1887" w:type="dxa"/>
            <w:vMerge w:val="restart"/>
            <w:shd w:val="clear" w:color="auto" w:fill="9DBEE4"/>
          </w:tcPr>
          <w:p>
            <w:pPr>
              <w:pStyle w:val="TableParagraph"/>
              <w:spacing w:before="139"/>
              <w:ind w:left="1"/>
              <w:rPr>
                <w:sz w:val="17"/>
              </w:rPr>
            </w:pPr>
            <w:r>
              <w:rPr>
                <w:sz w:val="17"/>
              </w:rPr>
              <w:t>Tetra Tech DPK</w:t>
            </w:r>
          </w:p>
        </w:tc>
        <w:tc>
          <w:tcPr>
            <w:tcW w:w="1899" w:type="dxa"/>
            <w:vMerge w:val="restart"/>
            <w:tcBorders>
              <w:right w:val="nil"/>
            </w:tcBorders>
            <w:shd w:val="clear" w:color="auto" w:fill="9DBEE4"/>
          </w:tcPr>
          <w:p>
            <w:pPr>
              <w:pStyle w:val="TableParagraph"/>
              <w:spacing w:before="139"/>
              <w:ind w:left="1"/>
              <w:rPr>
                <w:sz w:val="17"/>
              </w:rPr>
            </w:pPr>
            <w:r>
              <w:rPr>
                <w:sz w:val="17"/>
              </w:rPr>
              <w:t>Ongoing</w:t>
            </w:r>
          </w:p>
        </w:tc>
      </w:tr>
      <w:tr>
        <w:trPr>
          <w:trHeight w:val="147"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vMerge/>
            <w:tcBorders>
              <w:top w:val="nil"/>
            </w:tcBorders>
            <w:shd w:val="clear" w:color="auto" w:fill="DDDDDD"/>
          </w:tcPr>
          <w:p>
            <w:pPr>
              <w:rPr>
                <w:sz w:val="2"/>
                <w:szCs w:val="2"/>
              </w:rPr>
            </w:pPr>
          </w:p>
        </w:tc>
        <w:tc>
          <w:tcPr>
            <w:tcW w:w="2364" w:type="dxa"/>
            <w:vMerge/>
            <w:tcBorders>
              <w:top w:val="nil"/>
            </w:tcBorders>
            <w:shd w:val="clear" w:color="auto" w:fill="DDDDDD"/>
          </w:tcPr>
          <w:p>
            <w:pPr>
              <w:rPr>
                <w:sz w:val="2"/>
                <w:szCs w:val="2"/>
              </w:rPr>
            </w:pPr>
          </w:p>
        </w:tc>
        <w:tc>
          <w:tcPr>
            <w:tcW w:w="3451" w:type="dxa"/>
            <w:vMerge/>
            <w:tcBorders>
              <w:top w:val="nil"/>
            </w:tcBorders>
            <w:shd w:val="clear" w:color="auto" w:fill="DDDDDD"/>
          </w:tcPr>
          <w:p>
            <w:pPr>
              <w:rPr>
                <w:sz w:val="2"/>
                <w:szCs w:val="2"/>
              </w:rPr>
            </w:pPr>
          </w:p>
        </w:tc>
        <w:tc>
          <w:tcPr>
            <w:tcW w:w="1867" w:type="dxa"/>
            <w:tcBorders>
              <w:top w:val="single" w:sz="4" w:space="0" w:color="000000"/>
              <w:right w:val="nil"/>
            </w:tcBorders>
            <w:shd w:val="clear" w:color="auto" w:fill="9DBEE4"/>
          </w:tcPr>
          <w:p>
            <w:pPr>
              <w:pStyle w:val="TableParagraph"/>
              <w:rPr>
                <w:rFonts w:ascii="Times New Roman"/>
                <w:sz w:val="8"/>
              </w:rPr>
            </w:pPr>
          </w:p>
        </w:tc>
        <w:tc>
          <w:tcPr>
            <w:tcW w:w="1251" w:type="dxa"/>
            <w:gridSpan w:val="2"/>
            <w:tcBorders>
              <w:top w:val="nil"/>
              <w:left w:val="nil"/>
            </w:tcBorders>
            <w:shd w:val="clear" w:color="auto" w:fill="9DBEE4"/>
          </w:tcPr>
          <w:p>
            <w:pPr>
              <w:pStyle w:val="TableParagraph"/>
              <w:rPr>
                <w:rFonts w:ascii="Times New Roman"/>
                <w:sz w:val="8"/>
              </w:rPr>
            </w:pPr>
          </w:p>
        </w:tc>
        <w:tc>
          <w:tcPr>
            <w:tcW w:w="1887" w:type="dxa"/>
            <w:vMerge/>
            <w:tcBorders>
              <w:top w:val="nil"/>
            </w:tcBorders>
            <w:shd w:val="clear" w:color="auto" w:fill="9DBEE4"/>
          </w:tcPr>
          <w:p>
            <w:pPr>
              <w:rPr>
                <w:sz w:val="2"/>
                <w:szCs w:val="2"/>
              </w:rPr>
            </w:pPr>
          </w:p>
        </w:tc>
        <w:tc>
          <w:tcPr>
            <w:tcW w:w="1899" w:type="dxa"/>
            <w:vMerge/>
            <w:tcBorders>
              <w:top w:val="nil"/>
              <w:right w:val="nil"/>
            </w:tcBorders>
            <w:shd w:val="clear" w:color="auto" w:fill="9DBEE4"/>
          </w:tcPr>
          <w:p>
            <w:pPr>
              <w:rPr>
                <w:sz w:val="2"/>
                <w:szCs w:val="2"/>
              </w:rPr>
            </w:pPr>
          </w:p>
        </w:tc>
      </w:tr>
      <w:tr>
        <w:trPr>
          <w:trHeight w:val="261"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31"/>
              <w:rPr>
                <w:sz w:val="17"/>
              </w:rPr>
            </w:pPr>
            <w:r>
              <w:rPr>
                <w:sz w:val="17"/>
              </w:rPr>
              <w:t>15.</w:t>
            </w:r>
          </w:p>
        </w:tc>
        <w:tc>
          <w:tcPr>
            <w:tcW w:w="2364" w:type="dxa"/>
            <w:shd w:val="clear" w:color="auto" w:fill="DDDDDD"/>
          </w:tcPr>
          <w:p>
            <w:pPr>
              <w:pStyle w:val="TableParagraph"/>
              <w:spacing w:before="31"/>
              <w:rPr>
                <w:sz w:val="17"/>
              </w:rPr>
            </w:pPr>
            <w:r>
              <w:rPr>
                <w:sz w:val="17"/>
              </w:rPr>
              <w:t>Ms. Etleva Kelmendi</w:t>
            </w:r>
          </w:p>
        </w:tc>
        <w:tc>
          <w:tcPr>
            <w:tcW w:w="3451" w:type="dxa"/>
            <w:shd w:val="clear" w:color="auto" w:fill="DDDDDD"/>
          </w:tcPr>
          <w:p>
            <w:pPr>
              <w:pStyle w:val="TableParagraph"/>
              <w:spacing w:before="31"/>
              <w:ind w:left="61"/>
              <w:rPr>
                <w:sz w:val="17"/>
              </w:rPr>
            </w:pPr>
            <w:r>
              <w:rPr>
                <w:sz w:val="17"/>
              </w:rPr>
              <w:t>Legal Advisor for Obj. 2</w:t>
            </w:r>
          </w:p>
        </w:tc>
        <w:tc>
          <w:tcPr>
            <w:tcW w:w="3118" w:type="dxa"/>
            <w:gridSpan w:val="3"/>
            <w:shd w:val="clear" w:color="auto" w:fill="9DBEE4"/>
          </w:tcPr>
          <w:p>
            <w:pPr>
              <w:pStyle w:val="TableParagraph"/>
              <w:spacing w:before="31"/>
              <w:ind w:left="1"/>
              <w:rPr>
                <w:sz w:val="17"/>
              </w:rPr>
            </w:pPr>
            <w:hyperlink r:id="rId96">
              <w:r>
                <w:rPr>
                  <w:sz w:val="17"/>
                </w:rPr>
                <w:t>etleva.kelmendi@prpkos.com</w:t>
              </w:r>
            </w:hyperlink>
          </w:p>
        </w:tc>
        <w:tc>
          <w:tcPr>
            <w:tcW w:w="1887" w:type="dxa"/>
            <w:shd w:val="clear" w:color="auto" w:fill="9DBEE4"/>
          </w:tcPr>
          <w:p>
            <w:pPr>
              <w:pStyle w:val="TableParagraph"/>
              <w:spacing w:before="31"/>
              <w:ind w:left="1"/>
              <w:rPr>
                <w:sz w:val="17"/>
              </w:rPr>
            </w:pPr>
            <w:r>
              <w:rPr>
                <w:sz w:val="17"/>
              </w:rPr>
              <w:t>Tetra Tech DPK</w:t>
            </w:r>
          </w:p>
        </w:tc>
        <w:tc>
          <w:tcPr>
            <w:tcW w:w="1899" w:type="dxa"/>
            <w:tcBorders>
              <w:right w:val="nil"/>
            </w:tcBorders>
            <w:shd w:val="clear" w:color="auto" w:fill="9DBEE4"/>
          </w:tcPr>
          <w:p>
            <w:pPr>
              <w:pStyle w:val="TableParagraph"/>
              <w:spacing w:before="31"/>
              <w:ind w:left="1"/>
              <w:rPr>
                <w:sz w:val="17"/>
              </w:rPr>
            </w:pPr>
            <w:r>
              <w:rPr>
                <w:sz w:val="17"/>
              </w:rPr>
              <w:t>Ongoing</w:t>
            </w:r>
          </w:p>
        </w:tc>
      </w:tr>
      <w:tr>
        <w:trPr>
          <w:trHeight w:val="245"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24"/>
              <w:rPr>
                <w:sz w:val="17"/>
              </w:rPr>
            </w:pPr>
            <w:r>
              <w:rPr>
                <w:sz w:val="17"/>
              </w:rPr>
              <w:t>16.</w:t>
            </w:r>
          </w:p>
        </w:tc>
        <w:tc>
          <w:tcPr>
            <w:tcW w:w="2364" w:type="dxa"/>
            <w:shd w:val="clear" w:color="auto" w:fill="DDDDDD"/>
          </w:tcPr>
          <w:p>
            <w:pPr>
              <w:pStyle w:val="TableParagraph"/>
              <w:spacing w:before="24"/>
              <w:rPr>
                <w:sz w:val="17"/>
              </w:rPr>
            </w:pPr>
            <w:r>
              <w:rPr>
                <w:sz w:val="17"/>
              </w:rPr>
              <w:t>Mr. Irfan Thaqi</w:t>
            </w:r>
          </w:p>
        </w:tc>
        <w:tc>
          <w:tcPr>
            <w:tcW w:w="3451" w:type="dxa"/>
            <w:shd w:val="clear" w:color="auto" w:fill="DDDDDD"/>
          </w:tcPr>
          <w:p>
            <w:pPr>
              <w:pStyle w:val="TableParagraph"/>
              <w:spacing w:before="24"/>
              <w:ind w:left="61"/>
              <w:rPr>
                <w:sz w:val="17"/>
              </w:rPr>
            </w:pPr>
            <w:r>
              <w:rPr>
                <w:sz w:val="17"/>
              </w:rPr>
              <w:t>Court Legal Associate (Gjilan/Gnjilane)</w:t>
            </w:r>
          </w:p>
        </w:tc>
        <w:tc>
          <w:tcPr>
            <w:tcW w:w="3118" w:type="dxa"/>
            <w:gridSpan w:val="3"/>
            <w:shd w:val="clear" w:color="auto" w:fill="9DBEE4"/>
          </w:tcPr>
          <w:p>
            <w:pPr>
              <w:pStyle w:val="TableParagraph"/>
              <w:spacing w:before="24"/>
              <w:ind w:left="1"/>
              <w:rPr>
                <w:sz w:val="17"/>
              </w:rPr>
            </w:pPr>
            <w:hyperlink r:id="rId97">
              <w:r>
                <w:rPr>
                  <w:sz w:val="17"/>
                </w:rPr>
                <w:t>irfan.thaqi@prpkos.com</w:t>
              </w:r>
            </w:hyperlink>
          </w:p>
        </w:tc>
        <w:tc>
          <w:tcPr>
            <w:tcW w:w="1887" w:type="dxa"/>
            <w:shd w:val="clear" w:color="auto" w:fill="9DBEE4"/>
          </w:tcPr>
          <w:p>
            <w:pPr>
              <w:pStyle w:val="TableParagraph"/>
              <w:spacing w:before="24"/>
              <w:ind w:left="1"/>
              <w:rPr>
                <w:sz w:val="17"/>
              </w:rPr>
            </w:pPr>
            <w:r>
              <w:rPr>
                <w:sz w:val="17"/>
              </w:rPr>
              <w:t>Tetra Tech DPK</w:t>
            </w:r>
          </w:p>
        </w:tc>
        <w:tc>
          <w:tcPr>
            <w:tcW w:w="1899" w:type="dxa"/>
            <w:tcBorders>
              <w:right w:val="nil"/>
            </w:tcBorders>
            <w:shd w:val="clear" w:color="auto" w:fill="9DBEE4"/>
          </w:tcPr>
          <w:p>
            <w:pPr>
              <w:pStyle w:val="TableParagraph"/>
              <w:spacing w:before="24"/>
              <w:ind w:left="1"/>
              <w:rPr>
                <w:sz w:val="17"/>
              </w:rPr>
            </w:pPr>
            <w:r>
              <w:rPr>
                <w:sz w:val="17"/>
              </w:rPr>
              <w:t>Ongoing</w:t>
            </w:r>
          </w:p>
        </w:tc>
      </w:tr>
      <w:tr>
        <w:trPr>
          <w:trHeight w:val="243"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24"/>
              <w:rPr>
                <w:sz w:val="17"/>
              </w:rPr>
            </w:pPr>
            <w:r>
              <w:rPr>
                <w:sz w:val="17"/>
              </w:rPr>
              <w:t>17.</w:t>
            </w:r>
          </w:p>
        </w:tc>
        <w:tc>
          <w:tcPr>
            <w:tcW w:w="2364" w:type="dxa"/>
            <w:shd w:val="clear" w:color="auto" w:fill="DDDDDD"/>
          </w:tcPr>
          <w:p>
            <w:pPr>
              <w:pStyle w:val="TableParagraph"/>
              <w:spacing w:before="24"/>
              <w:rPr>
                <w:sz w:val="17"/>
              </w:rPr>
            </w:pPr>
            <w:r>
              <w:rPr>
                <w:sz w:val="17"/>
              </w:rPr>
              <w:t>Ms. Gentiana Shabani</w:t>
            </w:r>
          </w:p>
        </w:tc>
        <w:tc>
          <w:tcPr>
            <w:tcW w:w="3451" w:type="dxa"/>
            <w:shd w:val="clear" w:color="auto" w:fill="DDDDDD"/>
          </w:tcPr>
          <w:p>
            <w:pPr>
              <w:pStyle w:val="TableParagraph"/>
              <w:spacing w:before="24"/>
              <w:ind w:left="61"/>
              <w:rPr>
                <w:sz w:val="17"/>
              </w:rPr>
            </w:pPr>
            <w:r>
              <w:rPr>
                <w:sz w:val="17"/>
              </w:rPr>
              <w:t>Court Legal Associate (Gjilan/Gnjilane)</w:t>
            </w:r>
          </w:p>
        </w:tc>
        <w:tc>
          <w:tcPr>
            <w:tcW w:w="3118" w:type="dxa"/>
            <w:gridSpan w:val="3"/>
            <w:shd w:val="clear" w:color="auto" w:fill="9DBEE4"/>
          </w:tcPr>
          <w:p>
            <w:pPr>
              <w:pStyle w:val="TableParagraph"/>
              <w:spacing w:before="24"/>
              <w:ind w:left="1"/>
              <w:rPr>
                <w:sz w:val="17"/>
              </w:rPr>
            </w:pPr>
            <w:hyperlink r:id="rId98">
              <w:r>
                <w:rPr>
                  <w:sz w:val="17"/>
                </w:rPr>
                <w:t>gentian.shabani@prpkos.com</w:t>
              </w:r>
            </w:hyperlink>
          </w:p>
        </w:tc>
        <w:tc>
          <w:tcPr>
            <w:tcW w:w="1887" w:type="dxa"/>
            <w:shd w:val="clear" w:color="auto" w:fill="9DBEE4"/>
          </w:tcPr>
          <w:p>
            <w:pPr>
              <w:pStyle w:val="TableParagraph"/>
              <w:spacing w:before="24"/>
              <w:ind w:left="1"/>
              <w:rPr>
                <w:sz w:val="17"/>
              </w:rPr>
            </w:pPr>
            <w:r>
              <w:rPr>
                <w:sz w:val="17"/>
              </w:rPr>
              <w:t>Tetra Tech DPK</w:t>
            </w:r>
          </w:p>
        </w:tc>
        <w:tc>
          <w:tcPr>
            <w:tcW w:w="1899" w:type="dxa"/>
            <w:tcBorders>
              <w:right w:val="nil"/>
            </w:tcBorders>
            <w:shd w:val="clear" w:color="auto" w:fill="9DBEE4"/>
          </w:tcPr>
          <w:p>
            <w:pPr>
              <w:pStyle w:val="TableParagraph"/>
              <w:spacing w:before="24"/>
              <w:ind w:left="1"/>
              <w:rPr>
                <w:sz w:val="17"/>
              </w:rPr>
            </w:pPr>
            <w:r>
              <w:rPr>
                <w:sz w:val="17"/>
              </w:rPr>
              <w:t>Ongoing</w:t>
            </w:r>
          </w:p>
        </w:tc>
      </w:tr>
      <w:tr>
        <w:trPr>
          <w:trHeight w:val="262"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shd w:val="clear" w:color="auto" w:fill="DDDDDD"/>
          </w:tcPr>
          <w:p>
            <w:pPr>
              <w:pStyle w:val="TableParagraph"/>
              <w:spacing w:before="33"/>
              <w:rPr>
                <w:sz w:val="17"/>
              </w:rPr>
            </w:pPr>
            <w:r>
              <w:rPr>
                <w:sz w:val="17"/>
              </w:rPr>
              <w:t>18.</w:t>
            </w:r>
          </w:p>
        </w:tc>
        <w:tc>
          <w:tcPr>
            <w:tcW w:w="2364" w:type="dxa"/>
            <w:shd w:val="clear" w:color="auto" w:fill="DDDDDD"/>
          </w:tcPr>
          <w:p>
            <w:pPr>
              <w:pStyle w:val="TableParagraph"/>
              <w:spacing w:before="33"/>
              <w:rPr>
                <w:sz w:val="17"/>
              </w:rPr>
            </w:pPr>
            <w:r>
              <w:rPr>
                <w:sz w:val="17"/>
              </w:rPr>
              <w:t>Mr. Driton Ahmeti</w:t>
            </w:r>
          </w:p>
        </w:tc>
        <w:tc>
          <w:tcPr>
            <w:tcW w:w="3451" w:type="dxa"/>
            <w:shd w:val="clear" w:color="auto" w:fill="DDDDDD"/>
          </w:tcPr>
          <w:p>
            <w:pPr>
              <w:pStyle w:val="TableParagraph"/>
              <w:spacing w:before="33"/>
              <w:ind w:left="61"/>
              <w:rPr>
                <w:sz w:val="17"/>
              </w:rPr>
            </w:pPr>
            <w:r>
              <w:rPr>
                <w:sz w:val="17"/>
              </w:rPr>
              <w:t>Court Legal Associate (Ferizaj/Uroševac)</w:t>
            </w:r>
          </w:p>
        </w:tc>
        <w:tc>
          <w:tcPr>
            <w:tcW w:w="3118" w:type="dxa"/>
            <w:gridSpan w:val="3"/>
            <w:shd w:val="clear" w:color="auto" w:fill="9DBEE4"/>
          </w:tcPr>
          <w:p>
            <w:pPr>
              <w:pStyle w:val="TableParagraph"/>
              <w:spacing w:before="33"/>
              <w:ind w:left="1"/>
              <w:rPr>
                <w:sz w:val="17"/>
              </w:rPr>
            </w:pPr>
            <w:hyperlink r:id="rId99">
              <w:r>
                <w:rPr>
                  <w:sz w:val="17"/>
                </w:rPr>
                <w:t>driton.ahmeti@prpkos.com</w:t>
              </w:r>
            </w:hyperlink>
          </w:p>
        </w:tc>
        <w:tc>
          <w:tcPr>
            <w:tcW w:w="1887" w:type="dxa"/>
            <w:shd w:val="clear" w:color="auto" w:fill="9DBEE4"/>
          </w:tcPr>
          <w:p>
            <w:pPr>
              <w:pStyle w:val="TableParagraph"/>
              <w:spacing w:before="33"/>
              <w:ind w:left="1"/>
              <w:rPr>
                <w:sz w:val="17"/>
              </w:rPr>
            </w:pPr>
            <w:r>
              <w:rPr>
                <w:sz w:val="17"/>
              </w:rPr>
              <w:t>Tetra Tech DPK</w:t>
            </w:r>
          </w:p>
        </w:tc>
        <w:tc>
          <w:tcPr>
            <w:tcW w:w="1899" w:type="dxa"/>
            <w:tcBorders>
              <w:right w:val="nil"/>
            </w:tcBorders>
            <w:shd w:val="clear" w:color="auto" w:fill="9DBEE4"/>
          </w:tcPr>
          <w:p>
            <w:pPr>
              <w:pStyle w:val="TableParagraph"/>
              <w:spacing w:before="33"/>
              <w:ind w:left="1"/>
              <w:rPr>
                <w:sz w:val="17"/>
              </w:rPr>
            </w:pPr>
            <w:r>
              <w:rPr>
                <w:sz w:val="17"/>
              </w:rPr>
              <w:t>Ongoing</w:t>
            </w:r>
          </w:p>
        </w:tc>
      </w:tr>
      <w:tr>
        <w:trPr>
          <w:trHeight w:val="255" w:hRule="atLeast"/>
        </w:trPr>
        <w:tc>
          <w:tcPr>
            <w:tcW w:w="1512" w:type="dxa"/>
            <w:vMerge/>
            <w:tcBorders>
              <w:top w:val="nil"/>
              <w:left w:val="nil"/>
              <w:bottom w:val="single" w:sz="12" w:space="0" w:color="002A6C"/>
            </w:tcBorders>
            <w:shd w:val="clear" w:color="auto" w:fill="DDDDDD"/>
          </w:tcPr>
          <w:p>
            <w:pPr>
              <w:rPr>
                <w:sz w:val="2"/>
                <w:szCs w:val="2"/>
              </w:rPr>
            </w:pPr>
          </w:p>
        </w:tc>
        <w:tc>
          <w:tcPr>
            <w:tcW w:w="379" w:type="dxa"/>
            <w:tcBorders>
              <w:bottom w:val="single" w:sz="12" w:space="0" w:color="002A6C"/>
            </w:tcBorders>
            <w:shd w:val="clear" w:color="auto" w:fill="DDDDDD"/>
          </w:tcPr>
          <w:p>
            <w:pPr>
              <w:pStyle w:val="TableParagraph"/>
              <w:spacing w:before="24"/>
              <w:rPr>
                <w:sz w:val="17"/>
              </w:rPr>
            </w:pPr>
            <w:r>
              <w:rPr>
                <w:sz w:val="17"/>
              </w:rPr>
              <w:t>19</w:t>
            </w:r>
          </w:p>
        </w:tc>
        <w:tc>
          <w:tcPr>
            <w:tcW w:w="2364" w:type="dxa"/>
            <w:tcBorders>
              <w:bottom w:val="single" w:sz="12" w:space="0" w:color="002A6C"/>
            </w:tcBorders>
            <w:shd w:val="clear" w:color="auto" w:fill="DDDDDD"/>
          </w:tcPr>
          <w:p>
            <w:pPr>
              <w:pStyle w:val="TableParagraph"/>
              <w:spacing w:before="24"/>
              <w:rPr>
                <w:sz w:val="17"/>
              </w:rPr>
            </w:pPr>
            <w:r>
              <w:rPr>
                <w:sz w:val="17"/>
              </w:rPr>
              <w:t>Mr. Fatlum Halimi</w:t>
            </w:r>
          </w:p>
        </w:tc>
        <w:tc>
          <w:tcPr>
            <w:tcW w:w="3451" w:type="dxa"/>
            <w:tcBorders>
              <w:bottom w:val="single" w:sz="12" w:space="0" w:color="002A6C"/>
            </w:tcBorders>
            <w:shd w:val="clear" w:color="auto" w:fill="DDDDDD"/>
          </w:tcPr>
          <w:p>
            <w:pPr>
              <w:pStyle w:val="TableParagraph"/>
              <w:spacing w:before="24"/>
              <w:ind w:left="61"/>
              <w:rPr>
                <w:sz w:val="17"/>
              </w:rPr>
            </w:pPr>
            <w:r>
              <w:rPr>
                <w:sz w:val="17"/>
              </w:rPr>
              <w:t>Court Legal Associate (Ferizaj/Uroševac)</w:t>
            </w:r>
          </w:p>
        </w:tc>
        <w:tc>
          <w:tcPr>
            <w:tcW w:w="3118" w:type="dxa"/>
            <w:gridSpan w:val="3"/>
            <w:tcBorders>
              <w:bottom w:val="single" w:sz="12" w:space="0" w:color="002A6C"/>
            </w:tcBorders>
            <w:shd w:val="clear" w:color="auto" w:fill="9DBEE4"/>
          </w:tcPr>
          <w:p>
            <w:pPr>
              <w:pStyle w:val="TableParagraph"/>
              <w:spacing w:before="24"/>
              <w:ind w:left="1"/>
              <w:rPr>
                <w:sz w:val="17"/>
              </w:rPr>
            </w:pPr>
            <w:hyperlink r:id="rId100">
              <w:r>
                <w:rPr>
                  <w:sz w:val="17"/>
                </w:rPr>
                <w:t>fatlum.halimi@prpkos.com</w:t>
              </w:r>
            </w:hyperlink>
          </w:p>
        </w:tc>
        <w:tc>
          <w:tcPr>
            <w:tcW w:w="1887" w:type="dxa"/>
            <w:tcBorders>
              <w:bottom w:val="single" w:sz="12" w:space="0" w:color="002A6C"/>
            </w:tcBorders>
            <w:shd w:val="clear" w:color="auto" w:fill="9DBEE4"/>
          </w:tcPr>
          <w:p>
            <w:pPr>
              <w:pStyle w:val="TableParagraph"/>
              <w:spacing w:before="24"/>
              <w:ind w:left="1"/>
              <w:rPr>
                <w:sz w:val="17"/>
              </w:rPr>
            </w:pPr>
            <w:r>
              <w:rPr>
                <w:sz w:val="17"/>
              </w:rPr>
              <w:t>Tetra Tech DPK</w:t>
            </w:r>
          </w:p>
        </w:tc>
        <w:tc>
          <w:tcPr>
            <w:tcW w:w="1899" w:type="dxa"/>
            <w:tcBorders>
              <w:bottom w:val="single" w:sz="12" w:space="0" w:color="002A6C"/>
              <w:right w:val="nil"/>
            </w:tcBorders>
            <w:shd w:val="clear" w:color="auto" w:fill="9DBEE4"/>
          </w:tcPr>
          <w:p>
            <w:pPr>
              <w:pStyle w:val="TableParagraph"/>
              <w:spacing w:before="24"/>
              <w:ind w:left="1"/>
              <w:rPr>
                <w:sz w:val="17"/>
              </w:rPr>
            </w:pPr>
            <w:r>
              <w:rPr>
                <w:sz w:val="17"/>
              </w:rPr>
              <w:t>Ongoing</w:t>
            </w:r>
          </w:p>
        </w:tc>
      </w:tr>
    </w:tbl>
    <w:p>
      <w:pPr>
        <w:spacing w:after="0"/>
        <w:rPr>
          <w:sz w:val="17"/>
        </w:rPr>
        <w:sectPr>
          <w:footerReference w:type="default" r:id="rId80"/>
          <w:pgSz w:w="16840" w:h="11910" w:orient="landscape"/>
          <w:pgMar w:footer="720" w:header="0" w:top="1100" w:bottom="900" w:left="1340" w:right="680"/>
        </w:sectPr>
      </w:pPr>
    </w:p>
    <w:p>
      <w:pPr>
        <w:pStyle w:val="BodyText"/>
        <w:spacing w:before="4"/>
        <w:rPr>
          <w:rFonts w:ascii="Times New Roman"/>
          <w:sz w:val="17"/>
        </w:rPr>
      </w:pPr>
      <w:r>
        <w:rPr/>
        <w:pict>
          <v:group style="position:absolute;margin-left:0pt;margin-top:711.350037pt;width:595.35pt;height:130.3pt;mso-position-horizontal-relative:page;mso-position-vertical-relative:page;z-index:2080" coordorigin="0,14227" coordsize="11907,2606">
            <v:rect style="position:absolute;left:0;top:14227;width:11907;height:2606" filled="true" fillcolor="#002e6c" stroked="false">
              <v:fill type="solid"/>
            </v:rect>
            <v:shape style="position:absolute;left:0;top:14227;width:11907;height:2606" type="#_x0000_t202" filled="false" stroked="false">
              <v:textbox inset="0,0,0,0">
                <w:txbxContent>
                  <w:p>
                    <w:pPr>
                      <w:spacing w:line="325" w:lineRule="exact" w:before="51"/>
                      <w:ind w:left="2498" w:right="0" w:firstLine="0"/>
                      <w:jc w:val="left"/>
                      <w:rPr>
                        <w:b/>
                        <w:sz w:val="28"/>
                      </w:rPr>
                    </w:pPr>
                    <w:r>
                      <w:rPr>
                        <w:b/>
                        <w:color w:val="FFFFFF"/>
                        <w:sz w:val="28"/>
                      </w:rPr>
                      <w:t>U.S. Agency for International Development Kosovo</w:t>
                    </w:r>
                  </w:p>
                  <w:p>
                    <w:pPr>
                      <w:spacing w:before="0"/>
                      <w:ind w:left="4522" w:right="4688" w:hanging="2"/>
                      <w:jc w:val="center"/>
                      <w:rPr>
                        <w:sz w:val="28"/>
                      </w:rPr>
                    </w:pPr>
                    <w:r>
                      <w:rPr>
                        <w:color w:val="FFFFFF"/>
                        <w:sz w:val="28"/>
                      </w:rPr>
                      <w:t>Arberia (Dragodan) Pristina, Kosovo, 10130</w:t>
                    </w:r>
                  </w:p>
                  <w:p>
                    <w:pPr>
                      <w:spacing w:line="324" w:lineRule="exact" w:before="1"/>
                      <w:ind w:left="4290" w:right="4456" w:firstLine="0"/>
                      <w:jc w:val="center"/>
                      <w:rPr>
                        <w:sz w:val="28"/>
                      </w:rPr>
                    </w:pPr>
                    <w:r>
                      <w:rPr>
                        <w:color w:val="FFFFFF"/>
                        <w:sz w:val="28"/>
                      </w:rPr>
                      <w:t>Tel: +381 (0)38 59 59 2000</w:t>
                    </w:r>
                  </w:p>
                  <w:p>
                    <w:pPr>
                      <w:spacing w:line="324" w:lineRule="exact" w:before="0"/>
                      <w:ind w:left="4290" w:right="4455" w:firstLine="0"/>
                      <w:jc w:val="center"/>
                      <w:rPr>
                        <w:sz w:val="28"/>
                      </w:rPr>
                    </w:pPr>
                    <w:r>
                      <w:rPr>
                        <w:color w:val="FFFFFF"/>
                        <w:sz w:val="28"/>
                      </w:rPr>
                      <w:t>Fax: +381 (0)38 249 493</w:t>
                    </w:r>
                  </w:p>
                  <w:p>
                    <w:pPr>
                      <w:spacing w:line="324" w:lineRule="exact" w:before="0"/>
                      <w:ind w:left="4290" w:right="4455" w:firstLine="0"/>
                      <w:jc w:val="center"/>
                      <w:rPr>
                        <w:b/>
                        <w:sz w:val="28"/>
                      </w:rPr>
                    </w:pPr>
                    <w:hyperlink r:id="rId74">
                      <w:r>
                        <w:rPr>
                          <w:b/>
                          <w:color w:val="FFFFFF"/>
                          <w:sz w:val="28"/>
                        </w:rPr>
                        <w:t>www.usaid.gov/kosovo</w:t>
                      </w:r>
                    </w:hyperlink>
                  </w:p>
                </w:txbxContent>
              </v:textbox>
              <w10:wrap type="none"/>
            </v:shape>
            <w10:wrap type="none"/>
          </v:group>
        </w:pict>
      </w:r>
    </w:p>
    <w:sectPr>
      <w:footerReference w:type="default" r:id="rId101"/>
      <w:pgSz w:w="11910" w:h="16840"/>
      <w:pgMar w:footer="0" w:header="0" w:top="15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MT">
    <w:altName w:val="Gill Sans MT"/>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0.024002pt;margin-top:794.929199pt;width:192.2pt;height:11.35pt;mso-position-horizontal-relative:page;mso-position-vertical-relative:page;z-index:-66136" type="#_x0000_t202" filled="false" stroked="false">
          <v:textbox inset="0,0,0,0">
            <w:txbxContent>
              <w:p>
                <w:pPr>
                  <w:tabs>
                    <w:tab w:pos="440" w:val="left" w:leader="none"/>
                    <w:tab w:pos="704" w:val="left" w:leader="none"/>
                  </w:tabs>
                  <w:spacing w:before="20"/>
                  <w:ind w:left="40" w:right="0" w:firstLine="0"/>
                  <w:jc w:val="left"/>
                  <w:rPr>
                    <w:sz w:val="16"/>
                  </w:rPr>
                </w:pPr>
                <w:r>
                  <w:rPr/>
                  <w:fldChar w:fldCharType="begin"/>
                </w:r>
                <w:r>
                  <w:rPr>
                    <w:b/>
                    <w:color w:val="6C6362"/>
                    <w:sz w:val="16"/>
                  </w:rPr>
                  <w:instrText> PAGE </w:instrText>
                </w:r>
                <w:r>
                  <w:rPr/>
                  <w:fldChar w:fldCharType="separate"/>
                </w:r>
                <w:r>
                  <w:rPr/>
                  <w:t>10</w:t>
                </w:r>
                <w:r>
                  <w:rPr/>
                  <w:fldChar w:fldCharType="end"/>
                </w:r>
                <w:r>
                  <w:rPr>
                    <w:b/>
                    <w:color w:val="6C6362"/>
                    <w:sz w:val="16"/>
                  </w:rPr>
                  <w:tab/>
                </w:r>
                <w:r>
                  <w:rPr>
                    <w:color w:val="6C6362"/>
                    <w:sz w:val="16"/>
                  </w:rPr>
                  <w:t>|</w:t>
                  <w:tab/>
                  <w:t>KOSOVO PRP: QUARTERLY REPORT NO.</w:t>
                </w:r>
                <w:r>
                  <w:rPr>
                    <w:color w:val="6C6362"/>
                    <w:spacing w:val="-16"/>
                    <w:sz w:val="16"/>
                  </w:rPr>
                  <w:t> </w:t>
                </w:r>
                <w:r>
                  <w:rPr>
                    <w:color w:val="6C6362"/>
                    <w:sz w:val="16"/>
                  </w:rPr>
                  <w:t>17</w:t>
                </w:r>
              </w:p>
            </w:txbxContent>
          </v:textbox>
          <w10:wrap type="none"/>
        </v:shape>
      </w:pict>
    </w:r>
    <w:r>
      <w:rPr/>
      <w:pict>
        <v:shape style="position:absolute;margin-left:480.660004pt;margin-top:794.929199pt;width:43.85pt;height:11.35pt;mso-position-horizontal-relative:page;mso-position-vertical-relative:page;z-index:-66112" type="#_x0000_t202" filled="false" stroked="false">
          <v:textbox inset="0,0,0,0">
            <w:txbxContent>
              <w:p>
                <w:pPr>
                  <w:spacing w:before="20"/>
                  <w:ind w:left="20" w:right="0" w:firstLine="0"/>
                  <w:jc w:val="left"/>
                  <w:rPr>
                    <w:sz w:val="16"/>
                  </w:rPr>
                </w:pPr>
                <w:r>
                  <w:rPr>
                    <w:color w:val="6C6362"/>
                    <w:sz w:val="16"/>
                  </w:rPr>
                  <w:t>USAID.GOV</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70pt;margin-top:548.329224pt;width:192.2pt;height:11.35pt;mso-position-horizontal-relative:page;mso-position-vertical-relative:page;z-index:-66088" type="#_x0000_t202" filled="false" stroked="false">
          <v:textbox inset="0,0,0,0">
            <w:txbxContent>
              <w:p>
                <w:pPr>
                  <w:tabs>
                    <w:tab w:pos="441" w:val="left" w:leader="none"/>
                    <w:tab w:pos="705" w:val="left" w:leader="none"/>
                  </w:tabs>
                  <w:spacing w:before="20"/>
                  <w:ind w:left="40" w:right="0" w:firstLine="0"/>
                  <w:jc w:val="left"/>
                  <w:rPr>
                    <w:sz w:val="16"/>
                  </w:rPr>
                </w:pPr>
                <w:r>
                  <w:rPr/>
                  <w:fldChar w:fldCharType="begin"/>
                </w:r>
                <w:r>
                  <w:rPr>
                    <w:b/>
                    <w:color w:val="6C6362"/>
                    <w:sz w:val="16"/>
                  </w:rPr>
                  <w:instrText> PAGE </w:instrText>
                </w:r>
                <w:r>
                  <w:rPr/>
                  <w:fldChar w:fldCharType="separate"/>
                </w:r>
                <w:r>
                  <w:rPr/>
                  <w:t>34</w:t>
                </w:r>
                <w:r>
                  <w:rPr/>
                  <w:fldChar w:fldCharType="end"/>
                </w:r>
                <w:r>
                  <w:rPr>
                    <w:b/>
                    <w:color w:val="6C6362"/>
                    <w:sz w:val="16"/>
                  </w:rPr>
                  <w:tab/>
                </w:r>
                <w:r>
                  <w:rPr>
                    <w:color w:val="6C6362"/>
                    <w:sz w:val="16"/>
                  </w:rPr>
                  <w:t>|</w:t>
                  <w:tab/>
                  <w:t>KOSOVO PRP: QUARTERLY REPORT NO.</w:t>
                </w:r>
                <w:r>
                  <w:rPr>
                    <w:color w:val="6C6362"/>
                    <w:spacing w:val="-16"/>
                    <w:sz w:val="16"/>
                  </w:rPr>
                  <w:t> </w:t>
                </w:r>
                <w:r>
                  <w:rPr>
                    <w:color w:val="6C6362"/>
                    <w:sz w:val="16"/>
                  </w:rPr>
                  <w:t>17</w:t>
                </w:r>
              </w:p>
            </w:txbxContent>
          </v:textbox>
          <w10:wrap type="none"/>
        </v:shape>
      </w:pict>
    </w:r>
    <w:r>
      <w:rPr/>
      <w:pict>
        <v:shape style="position:absolute;margin-left:727.280029pt;margin-top:548.329224pt;width:43.85pt;height:11.35pt;mso-position-horizontal-relative:page;mso-position-vertical-relative:page;z-index:-66064" type="#_x0000_t202" filled="false" stroked="false">
          <v:textbox inset="0,0,0,0">
            <w:txbxContent>
              <w:p>
                <w:pPr>
                  <w:spacing w:before="20"/>
                  <w:ind w:left="20" w:right="0" w:firstLine="0"/>
                  <w:jc w:val="left"/>
                  <w:rPr>
                    <w:sz w:val="16"/>
                  </w:rPr>
                </w:pPr>
                <w:r>
                  <w:rPr>
                    <w:color w:val="6C6362"/>
                    <w:sz w:val="16"/>
                  </w:rPr>
                  <w:t>USAID.GOV</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24002pt;margin-top:794.929199pt;width:192.2pt;height:11.35pt;mso-position-horizontal-relative:page;mso-position-vertical-relative:page;z-index:-66040" type="#_x0000_t202" filled="false" stroked="false">
          <v:textbox inset="0,0,0,0">
            <w:txbxContent>
              <w:p>
                <w:pPr>
                  <w:tabs>
                    <w:tab w:pos="440" w:val="left" w:leader="none"/>
                    <w:tab w:pos="704" w:val="left" w:leader="none"/>
                  </w:tabs>
                  <w:spacing w:before="20"/>
                  <w:ind w:left="40" w:right="0" w:firstLine="0"/>
                  <w:jc w:val="left"/>
                  <w:rPr>
                    <w:sz w:val="16"/>
                  </w:rPr>
                </w:pPr>
                <w:r>
                  <w:rPr/>
                  <w:fldChar w:fldCharType="begin"/>
                </w:r>
                <w:r>
                  <w:rPr>
                    <w:b/>
                    <w:color w:val="6C6362"/>
                    <w:sz w:val="16"/>
                  </w:rPr>
                  <w:instrText> PAGE </w:instrText>
                </w:r>
                <w:r>
                  <w:rPr/>
                  <w:fldChar w:fldCharType="separate"/>
                </w:r>
                <w:r>
                  <w:rPr/>
                  <w:t>37</w:t>
                </w:r>
                <w:r>
                  <w:rPr/>
                  <w:fldChar w:fldCharType="end"/>
                </w:r>
                <w:r>
                  <w:rPr>
                    <w:b/>
                    <w:color w:val="6C6362"/>
                    <w:sz w:val="16"/>
                  </w:rPr>
                  <w:tab/>
                </w:r>
                <w:r>
                  <w:rPr>
                    <w:color w:val="6C6362"/>
                    <w:sz w:val="16"/>
                  </w:rPr>
                  <w:t>|</w:t>
                  <w:tab/>
                  <w:t>KOSOVO PRP: QUARTERLY REPORT NO.</w:t>
                </w:r>
                <w:r>
                  <w:rPr>
                    <w:color w:val="6C6362"/>
                    <w:spacing w:val="-16"/>
                    <w:sz w:val="16"/>
                  </w:rPr>
                  <w:t> </w:t>
                </w:r>
                <w:r>
                  <w:rPr>
                    <w:color w:val="6C6362"/>
                    <w:sz w:val="16"/>
                  </w:rPr>
                  <w:t>17</w:t>
                </w:r>
              </w:p>
            </w:txbxContent>
          </v:textbox>
          <w10:wrap type="none"/>
        </v:shape>
      </w:pict>
    </w:r>
    <w:r>
      <w:rPr/>
      <w:pict>
        <v:shape style="position:absolute;margin-left:480.660004pt;margin-top:794.929199pt;width:43.85pt;height:11.35pt;mso-position-horizontal-relative:page;mso-position-vertical-relative:page;z-index:-66016" type="#_x0000_t202" filled="false" stroked="false">
          <v:textbox inset="0,0,0,0">
            <w:txbxContent>
              <w:p>
                <w:pPr>
                  <w:spacing w:before="20"/>
                  <w:ind w:left="20" w:right="0" w:firstLine="0"/>
                  <w:jc w:val="left"/>
                  <w:rPr>
                    <w:sz w:val="16"/>
                  </w:rPr>
                </w:pPr>
                <w:r>
                  <w:rPr>
                    <w:color w:val="6C6362"/>
                    <w:sz w:val="16"/>
                  </w:rPr>
                  <w:t>USAID.GOV</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94.929199pt;width:43.95pt;height:11.35pt;mso-position-horizontal-relative:page;mso-position-vertical-relative:page;z-index:-65992" type="#_x0000_t202" filled="false" stroked="false">
          <v:textbox inset="0,0,0,0">
            <w:txbxContent>
              <w:p>
                <w:pPr>
                  <w:spacing w:before="20"/>
                  <w:ind w:left="20" w:right="0" w:firstLine="0"/>
                  <w:jc w:val="left"/>
                  <w:rPr>
                    <w:sz w:val="16"/>
                  </w:rPr>
                </w:pPr>
                <w:r>
                  <w:rPr>
                    <w:color w:val="6C6362"/>
                    <w:sz w:val="16"/>
                  </w:rPr>
                  <w:t>USAID.GOV</w:t>
                </w:r>
              </w:p>
            </w:txbxContent>
          </v:textbox>
          <w10:wrap type="none"/>
        </v:shape>
      </w:pict>
    </w:r>
    <w:r>
      <w:rPr/>
      <w:pict>
        <v:shape style="position:absolute;margin-left:351.630005pt;margin-top:794.929199pt;width:154.9pt;height:11.35pt;mso-position-horizontal-relative:page;mso-position-vertical-relative:page;z-index:-65968" type="#_x0000_t202" filled="false" stroked="false">
          <v:textbox inset="0,0,0,0">
            <w:txbxContent>
              <w:p>
                <w:pPr>
                  <w:tabs>
                    <w:tab w:pos="3035" w:val="left" w:leader="none"/>
                  </w:tabs>
                  <w:spacing w:before="20"/>
                  <w:ind w:left="20" w:right="0" w:firstLine="0"/>
                  <w:jc w:val="left"/>
                  <w:rPr>
                    <w:sz w:val="16"/>
                  </w:rPr>
                </w:pPr>
                <w:r>
                  <w:rPr>
                    <w:color w:val="6C6362"/>
                    <w:sz w:val="16"/>
                  </w:rPr>
                  <w:t>USAID/KOSOVO </w:t>
                </w:r>
                <w:r>
                  <w:rPr>
                    <w:color w:val="6C6362"/>
                    <w:spacing w:val="40"/>
                    <w:sz w:val="16"/>
                  </w:rPr>
                  <w:t> </w:t>
                </w:r>
                <w:r>
                  <w:rPr>
                    <w:color w:val="6C6362"/>
                    <w:sz w:val="16"/>
                  </w:rPr>
                  <w:t>PROJECT</w:t>
                </w:r>
                <w:r>
                  <w:rPr>
                    <w:color w:val="6C6362"/>
                    <w:spacing w:val="-4"/>
                    <w:sz w:val="16"/>
                  </w:rPr>
                  <w:t> </w:t>
                </w:r>
                <w:r>
                  <w:rPr>
                    <w:color w:val="6C6362"/>
                    <w:sz w:val="16"/>
                  </w:rPr>
                  <w:t>SNAPSHOT</w:t>
                  <w:tab/>
                  <w:t>|</w:t>
                </w:r>
              </w:p>
            </w:txbxContent>
          </v:textbox>
          <w10:wrap type="none"/>
        </v:shape>
      </w:pict>
    </w:r>
    <w:r>
      <w:rPr/>
      <w:pict>
        <v:shape style="position:absolute;margin-left:519.799988pt;margin-top:794.929199pt;width:4.7pt;height:11.35pt;mso-position-horizontal-relative:page;mso-position-vertical-relative:page;z-index:-65944" type="#_x0000_t202" filled="false" stroked="false">
          <v:textbox inset="0,0,0,0">
            <w:txbxContent>
              <w:p>
                <w:pPr>
                  <w:spacing w:before="20"/>
                  <w:ind w:left="20" w:right="0" w:firstLine="0"/>
                  <w:jc w:val="left"/>
                  <w:rPr>
                    <w:b/>
                    <w:sz w:val="16"/>
                  </w:rPr>
                </w:pPr>
                <w:r>
                  <w:rPr>
                    <w:b/>
                    <w:color w:val="6C6362"/>
                    <w:w w:val="100"/>
                    <w:sz w:val="16"/>
                  </w:rPr>
                  <w:t>I</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94.929199pt;width:191.2pt;height:11.35pt;mso-position-horizontal-relative:page;mso-position-vertical-relative:page;z-index:-65920" type="#_x0000_t202" filled="false" stroked="false">
          <v:textbox inset="0,0,0,0">
            <w:txbxContent>
              <w:p>
                <w:pPr>
                  <w:tabs>
                    <w:tab w:pos="420" w:val="left" w:leader="none"/>
                    <w:tab w:pos="684" w:val="left" w:leader="none"/>
                  </w:tabs>
                  <w:spacing w:before="20"/>
                  <w:ind w:left="20" w:right="0" w:firstLine="0"/>
                  <w:jc w:val="left"/>
                  <w:rPr>
                    <w:sz w:val="16"/>
                  </w:rPr>
                </w:pPr>
                <w:r>
                  <w:rPr>
                    <w:b/>
                    <w:color w:val="6C6362"/>
                    <w:sz w:val="16"/>
                  </w:rPr>
                  <w:t>35</w:t>
                  <w:tab/>
                </w:r>
                <w:r>
                  <w:rPr>
                    <w:color w:val="6C6362"/>
                    <w:sz w:val="16"/>
                  </w:rPr>
                  <w:t>|</w:t>
                  <w:tab/>
                  <w:t>KOSOVO PRP: QUARTERLY REPORT NO.</w:t>
                </w:r>
                <w:r>
                  <w:rPr>
                    <w:color w:val="6C6362"/>
                    <w:spacing w:val="-16"/>
                    <w:sz w:val="16"/>
                  </w:rPr>
                  <w:t> </w:t>
                </w:r>
                <w:r>
                  <w:rPr>
                    <w:color w:val="6C6362"/>
                    <w:sz w:val="16"/>
                  </w:rPr>
                  <w:t>17</w:t>
                </w:r>
              </w:p>
            </w:txbxContent>
          </v:textbox>
          <w10:wrap type="none"/>
        </v:shape>
      </w:pict>
    </w:r>
    <w:r>
      <w:rPr/>
      <w:pict>
        <v:shape style="position:absolute;margin-left:480.660004pt;margin-top:794.929199pt;width:43.85pt;height:11.35pt;mso-position-horizontal-relative:page;mso-position-vertical-relative:page;z-index:-65896" type="#_x0000_t202" filled="false" stroked="false">
          <v:textbox inset="0,0,0,0">
            <w:txbxContent>
              <w:p>
                <w:pPr>
                  <w:spacing w:before="20"/>
                  <w:ind w:left="20" w:right="0" w:firstLine="0"/>
                  <w:jc w:val="left"/>
                  <w:rPr>
                    <w:sz w:val="16"/>
                  </w:rPr>
                </w:pPr>
                <w:r>
                  <w:rPr>
                    <w:color w:val="6C6362"/>
                    <w:sz w:val="16"/>
                  </w:rPr>
                  <w:t>USAID.GOV</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94.929199pt;width:43.95pt;height:11.35pt;mso-position-horizontal-relative:page;mso-position-vertical-relative:page;z-index:-65872" type="#_x0000_t202" filled="false" stroked="false">
          <v:textbox inset="0,0,0,0">
            <w:txbxContent>
              <w:p>
                <w:pPr>
                  <w:spacing w:before="20"/>
                  <w:ind w:left="20" w:right="0" w:firstLine="0"/>
                  <w:jc w:val="left"/>
                  <w:rPr>
                    <w:sz w:val="16"/>
                  </w:rPr>
                </w:pPr>
                <w:r>
                  <w:rPr>
                    <w:color w:val="6C6362"/>
                    <w:sz w:val="16"/>
                  </w:rPr>
                  <w:t>USAID.GOV</w:t>
                </w:r>
              </w:p>
            </w:txbxContent>
          </v:textbox>
          <w10:wrap type="none"/>
        </v:shape>
      </w:pict>
    </w:r>
    <w:r>
      <w:rPr/>
      <w:pict>
        <v:shape style="position:absolute;margin-left:340.589996pt;margin-top:794.929199pt;width:165.9pt;height:11.35pt;mso-position-horizontal-relative:page;mso-position-vertical-relative:page;z-index:-65848" type="#_x0000_t202" filled="false" stroked="false">
          <v:textbox inset="0,0,0,0">
            <w:txbxContent>
              <w:p>
                <w:pPr>
                  <w:tabs>
                    <w:tab w:pos="3256" w:val="left" w:leader="none"/>
                  </w:tabs>
                  <w:spacing w:before="20"/>
                  <w:ind w:left="20" w:right="0" w:firstLine="0"/>
                  <w:jc w:val="left"/>
                  <w:rPr>
                    <w:sz w:val="16"/>
                  </w:rPr>
                </w:pPr>
                <w:r>
                  <w:rPr>
                    <w:color w:val="6C6362"/>
                    <w:sz w:val="16"/>
                  </w:rPr>
                  <w:t>USAID/KOSOVO   PROJECT</w:t>
                </w:r>
                <w:r>
                  <w:rPr>
                    <w:color w:val="6C6362"/>
                    <w:spacing w:val="-9"/>
                    <w:sz w:val="16"/>
                  </w:rPr>
                  <w:t> </w:t>
                </w:r>
                <w:r>
                  <w:rPr>
                    <w:color w:val="6C6362"/>
                    <w:sz w:val="16"/>
                  </w:rPr>
                  <w:t>BRIEF</w:t>
                </w:r>
                <w:r>
                  <w:rPr>
                    <w:color w:val="6C6362"/>
                    <w:spacing w:val="-4"/>
                    <w:sz w:val="16"/>
                  </w:rPr>
                  <w:t> </w:t>
                </w:r>
                <w:r>
                  <w:rPr>
                    <w:color w:val="6C6362"/>
                    <w:sz w:val="16"/>
                  </w:rPr>
                  <w:t>UPDATE</w:t>
                  <w:tab/>
                  <w:t>|</w:t>
                </w:r>
              </w:p>
            </w:txbxContent>
          </v:textbox>
          <w10:wrap type="none"/>
        </v:shape>
      </w:pict>
    </w:r>
    <w:r>
      <w:rPr/>
      <w:pict>
        <v:shape style="position:absolute;margin-left:518pt;margin-top:794.929199pt;width:6.45pt;height:11.35pt;mso-position-horizontal-relative:page;mso-position-vertical-relative:page;z-index:-65824" type="#_x0000_t202" filled="false" stroked="false">
          <v:textbox inset="0,0,0,0">
            <w:txbxContent>
              <w:p>
                <w:pPr>
                  <w:spacing w:before="20"/>
                  <w:ind w:left="20" w:right="0" w:firstLine="0"/>
                  <w:jc w:val="left"/>
                  <w:rPr>
                    <w:b/>
                    <w:sz w:val="16"/>
                  </w:rPr>
                </w:pPr>
                <w:r>
                  <w:rPr>
                    <w:b/>
                    <w:color w:val="6C6362"/>
                    <w:w w:val="100"/>
                    <w:sz w:val="16"/>
                  </w:rPr>
                  <w:t>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94.929199pt;width:191.2pt;height:11.35pt;mso-position-horizontal-relative:page;mso-position-vertical-relative:page;z-index:-65800" type="#_x0000_t202" filled="false" stroked="false">
          <v:textbox inset="0,0,0,0">
            <w:txbxContent>
              <w:p>
                <w:pPr>
                  <w:tabs>
                    <w:tab w:pos="420" w:val="left" w:leader="none"/>
                    <w:tab w:pos="684" w:val="left" w:leader="none"/>
                  </w:tabs>
                  <w:spacing w:before="20"/>
                  <w:ind w:left="20" w:right="0" w:firstLine="0"/>
                  <w:jc w:val="left"/>
                  <w:rPr>
                    <w:sz w:val="16"/>
                  </w:rPr>
                </w:pPr>
                <w:r>
                  <w:rPr>
                    <w:b/>
                    <w:color w:val="6C6362"/>
                    <w:sz w:val="16"/>
                  </w:rPr>
                  <w:t>39</w:t>
                  <w:tab/>
                </w:r>
                <w:r>
                  <w:rPr>
                    <w:color w:val="6C6362"/>
                    <w:sz w:val="16"/>
                  </w:rPr>
                  <w:t>|</w:t>
                  <w:tab/>
                  <w:t>KOSOVO PRP: QUARTERLY REPORT NO.</w:t>
                </w:r>
                <w:r>
                  <w:rPr>
                    <w:color w:val="6C6362"/>
                    <w:spacing w:val="-16"/>
                    <w:sz w:val="16"/>
                  </w:rPr>
                  <w:t> </w:t>
                </w:r>
                <w:r>
                  <w:rPr>
                    <w:color w:val="6C6362"/>
                    <w:sz w:val="16"/>
                  </w:rPr>
                  <w:t>17</w:t>
                </w:r>
              </w:p>
            </w:txbxContent>
          </v:textbox>
          <w10:wrap type="none"/>
        </v:shape>
      </w:pict>
    </w:r>
    <w:r>
      <w:rPr/>
      <w:pict>
        <v:shape style="position:absolute;margin-left:480.660004pt;margin-top:794.929199pt;width:43.85pt;height:11.35pt;mso-position-horizontal-relative:page;mso-position-vertical-relative:page;z-index:-65776" type="#_x0000_t202" filled="false" stroked="false">
          <v:textbox inset="0,0,0,0">
            <w:txbxContent>
              <w:p>
                <w:pPr>
                  <w:spacing w:before="20"/>
                  <w:ind w:left="20" w:right="0" w:firstLine="0"/>
                  <w:jc w:val="left"/>
                  <w:rPr>
                    <w:sz w:val="16"/>
                  </w:rPr>
                </w:pPr>
                <w:r>
                  <w:rPr>
                    <w:color w:val="6C6362"/>
                    <w:sz w:val="16"/>
                  </w:rPr>
                  <w:t>USAID.GOV</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48.329224pt;width:191.2pt;height:11.35pt;mso-position-horizontal-relative:page;mso-position-vertical-relative:page;z-index:-65752" type="#_x0000_t202" filled="false" stroked="false">
          <v:textbox inset="0,0,0,0">
            <w:txbxContent>
              <w:p>
                <w:pPr>
                  <w:tabs>
                    <w:tab w:pos="421" w:val="left" w:leader="none"/>
                    <w:tab w:pos="685" w:val="left" w:leader="none"/>
                  </w:tabs>
                  <w:spacing w:before="20"/>
                  <w:ind w:left="20" w:right="0" w:firstLine="0"/>
                  <w:jc w:val="left"/>
                  <w:rPr>
                    <w:sz w:val="16"/>
                  </w:rPr>
                </w:pPr>
                <w:r>
                  <w:rPr>
                    <w:b/>
                    <w:color w:val="6C6362"/>
                    <w:sz w:val="16"/>
                  </w:rPr>
                  <w:t>40</w:t>
                  <w:tab/>
                </w:r>
                <w:r>
                  <w:rPr>
                    <w:color w:val="6C6362"/>
                    <w:sz w:val="16"/>
                  </w:rPr>
                  <w:t>|</w:t>
                  <w:tab/>
                  <w:t>KOSOVO PRP: QUARTERLY REPORT NO.</w:t>
                </w:r>
                <w:r>
                  <w:rPr>
                    <w:color w:val="6C6362"/>
                    <w:spacing w:val="-16"/>
                    <w:sz w:val="16"/>
                  </w:rPr>
                  <w:t> </w:t>
                </w:r>
                <w:r>
                  <w:rPr>
                    <w:color w:val="6C6362"/>
                    <w:sz w:val="16"/>
                  </w:rPr>
                  <w:t>17</w:t>
                </w:r>
              </w:p>
            </w:txbxContent>
          </v:textbox>
          <w10:wrap type="none"/>
        </v:shape>
      </w:pict>
    </w:r>
    <w:r>
      <w:rPr/>
      <w:pict>
        <v:shape style="position:absolute;margin-left:727.280029pt;margin-top:548.329224pt;width:43.85pt;height:11.35pt;mso-position-horizontal-relative:page;mso-position-vertical-relative:page;z-index:-65728" type="#_x0000_t202" filled="false" stroked="false">
          <v:textbox inset="0,0,0,0">
            <w:txbxContent>
              <w:p>
                <w:pPr>
                  <w:spacing w:before="20"/>
                  <w:ind w:left="20" w:right="0" w:firstLine="0"/>
                  <w:jc w:val="left"/>
                  <w:rPr>
                    <w:sz w:val="16"/>
                  </w:rPr>
                </w:pPr>
                <w:r>
                  <w:rPr>
                    <w:color w:val="6C6362"/>
                    <w:sz w:val="16"/>
                  </w:rPr>
                  <w:t>USAID.GOV</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80" w:hanging="360"/>
      </w:pPr>
      <w:rPr>
        <w:rFonts w:hint="default"/>
        <w:w w:val="100"/>
        <w:lang w:val="en-us" w:eastAsia="en-us" w:bidi="en-us"/>
      </w:rPr>
    </w:lvl>
    <w:lvl w:ilvl="1">
      <w:start w:val="0"/>
      <w:numFmt w:val="bullet"/>
      <w:lvlText w:val="•"/>
      <w:lvlJc w:val="left"/>
      <w:pPr>
        <w:ind w:left="1856" w:hanging="360"/>
      </w:pPr>
      <w:rPr>
        <w:rFonts w:hint="default"/>
        <w:lang w:val="en-us" w:eastAsia="en-us" w:bidi="en-us"/>
      </w:rPr>
    </w:lvl>
    <w:lvl w:ilvl="2">
      <w:start w:val="0"/>
      <w:numFmt w:val="bullet"/>
      <w:lvlText w:val="•"/>
      <w:lvlJc w:val="left"/>
      <w:pPr>
        <w:ind w:left="2833" w:hanging="360"/>
      </w:pPr>
      <w:rPr>
        <w:rFonts w:hint="default"/>
        <w:lang w:val="en-us" w:eastAsia="en-us" w:bidi="en-us"/>
      </w:rPr>
    </w:lvl>
    <w:lvl w:ilvl="3">
      <w:start w:val="0"/>
      <w:numFmt w:val="bullet"/>
      <w:lvlText w:val="•"/>
      <w:lvlJc w:val="left"/>
      <w:pPr>
        <w:ind w:left="3809" w:hanging="360"/>
      </w:pPr>
      <w:rPr>
        <w:rFonts w:hint="default"/>
        <w:lang w:val="en-us" w:eastAsia="en-us" w:bidi="en-us"/>
      </w:rPr>
    </w:lvl>
    <w:lvl w:ilvl="4">
      <w:start w:val="0"/>
      <w:numFmt w:val="bullet"/>
      <w:lvlText w:val="•"/>
      <w:lvlJc w:val="left"/>
      <w:pPr>
        <w:ind w:left="4786" w:hanging="360"/>
      </w:pPr>
      <w:rPr>
        <w:rFonts w:hint="default"/>
        <w:lang w:val="en-us" w:eastAsia="en-us" w:bidi="en-us"/>
      </w:rPr>
    </w:lvl>
    <w:lvl w:ilvl="5">
      <w:start w:val="0"/>
      <w:numFmt w:val="bullet"/>
      <w:lvlText w:val="•"/>
      <w:lvlJc w:val="left"/>
      <w:pPr>
        <w:ind w:left="5763" w:hanging="360"/>
      </w:pPr>
      <w:rPr>
        <w:rFonts w:hint="default"/>
        <w:lang w:val="en-us" w:eastAsia="en-us" w:bidi="en-us"/>
      </w:rPr>
    </w:lvl>
    <w:lvl w:ilvl="6">
      <w:start w:val="0"/>
      <w:numFmt w:val="bullet"/>
      <w:lvlText w:val="•"/>
      <w:lvlJc w:val="left"/>
      <w:pPr>
        <w:ind w:left="6739" w:hanging="360"/>
      </w:pPr>
      <w:rPr>
        <w:rFonts w:hint="default"/>
        <w:lang w:val="en-us" w:eastAsia="en-us" w:bidi="en-us"/>
      </w:rPr>
    </w:lvl>
    <w:lvl w:ilvl="7">
      <w:start w:val="0"/>
      <w:numFmt w:val="bullet"/>
      <w:lvlText w:val="•"/>
      <w:lvlJc w:val="left"/>
      <w:pPr>
        <w:ind w:left="7716" w:hanging="360"/>
      </w:pPr>
      <w:rPr>
        <w:rFonts w:hint="default"/>
        <w:lang w:val="en-us" w:eastAsia="en-us" w:bidi="en-us"/>
      </w:rPr>
    </w:lvl>
    <w:lvl w:ilvl="8">
      <w:start w:val="0"/>
      <w:numFmt w:val="bullet"/>
      <w:lvlText w:val="•"/>
      <w:lvlJc w:val="left"/>
      <w:pPr>
        <w:ind w:left="8693" w:hanging="360"/>
      </w:pPr>
      <w:rPr>
        <w:rFonts w:hint="default"/>
        <w:lang w:val="en-us" w:eastAsia="en-us" w:bidi="en-us"/>
      </w:rPr>
    </w:lvl>
  </w:abstractNum>
  <w:abstractNum w:abstractNumId="4">
    <w:multiLevelType w:val="hybridMultilevel"/>
    <w:lvl w:ilvl="0">
      <w:start w:val="0"/>
      <w:numFmt w:val="bullet"/>
      <w:lvlText w:val=""/>
      <w:lvlJc w:val="left"/>
      <w:pPr>
        <w:ind w:left="873" w:hanging="361"/>
      </w:pPr>
      <w:rPr>
        <w:rFonts w:hint="default" w:ascii="Symbol" w:hAnsi="Symbol" w:eastAsia="Symbol" w:cs="Symbol"/>
        <w:color w:val="767070"/>
        <w:w w:val="100"/>
        <w:sz w:val="22"/>
        <w:szCs w:val="22"/>
        <w:lang w:val="en-us" w:eastAsia="en-us" w:bidi="en-us"/>
      </w:rPr>
    </w:lvl>
    <w:lvl w:ilvl="1">
      <w:start w:val="0"/>
      <w:numFmt w:val="bullet"/>
      <w:lvlText w:val="•"/>
      <w:lvlJc w:val="left"/>
      <w:pPr>
        <w:ind w:left="1337" w:hanging="361"/>
      </w:pPr>
      <w:rPr>
        <w:rFonts w:hint="default"/>
        <w:lang w:val="en-us" w:eastAsia="en-us" w:bidi="en-us"/>
      </w:rPr>
    </w:lvl>
    <w:lvl w:ilvl="2">
      <w:start w:val="0"/>
      <w:numFmt w:val="bullet"/>
      <w:lvlText w:val="•"/>
      <w:lvlJc w:val="left"/>
      <w:pPr>
        <w:ind w:left="1795" w:hanging="361"/>
      </w:pPr>
      <w:rPr>
        <w:rFonts w:hint="default"/>
        <w:lang w:val="en-us" w:eastAsia="en-us" w:bidi="en-us"/>
      </w:rPr>
    </w:lvl>
    <w:lvl w:ilvl="3">
      <w:start w:val="0"/>
      <w:numFmt w:val="bullet"/>
      <w:lvlText w:val="•"/>
      <w:lvlJc w:val="left"/>
      <w:pPr>
        <w:ind w:left="2253" w:hanging="361"/>
      </w:pPr>
      <w:rPr>
        <w:rFonts w:hint="default"/>
        <w:lang w:val="en-us" w:eastAsia="en-us" w:bidi="en-us"/>
      </w:rPr>
    </w:lvl>
    <w:lvl w:ilvl="4">
      <w:start w:val="0"/>
      <w:numFmt w:val="bullet"/>
      <w:lvlText w:val="•"/>
      <w:lvlJc w:val="left"/>
      <w:pPr>
        <w:ind w:left="2711" w:hanging="361"/>
      </w:pPr>
      <w:rPr>
        <w:rFonts w:hint="default"/>
        <w:lang w:val="en-us" w:eastAsia="en-us" w:bidi="en-us"/>
      </w:rPr>
    </w:lvl>
    <w:lvl w:ilvl="5">
      <w:start w:val="0"/>
      <w:numFmt w:val="bullet"/>
      <w:lvlText w:val="•"/>
      <w:lvlJc w:val="left"/>
      <w:pPr>
        <w:ind w:left="3169" w:hanging="361"/>
      </w:pPr>
      <w:rPr>
        <w:rFonts w:hint="default"/>
        <w:lang w:val="en-us" w:eastAsia="en-us" w:bidi="en-us"/>
      </w:rPr>
    </w:lvl>
    <w:lvl w:ilvl="6">
      <w:start w:val="0"/>
      <w:numFmt w:val="bullet"/>
      <w:lvlText w:val="•"/>
      <w:lvlJc w:val="left"/>
      <w:pPr>
        <w:ind w:left="3627" w:hanging="361"/>
      </w:pPr>
      <w:rPr>
        <w:rFonts w:hint="default"/>
        <w:lang w:val="en-us" w:eastAsia="en-us" w:bidi="en-us"/>
      </w:rPr>
    </w:lvl>
    <w:lvl w:ilvl="7">
      <w:start w:val="0"/>
      <w:numFmt w:val="bullet"/>
      <w:lvlText w:val="•"/>
      <w:lvlJc w:val="left"/>
      <w:pPr>
        <w:ind w:left="4085" w:hanging="361"/>
      </w:pPr>
      <w:rPr>
        <w:rFonts w:hint="default"/>
        <w:lang w:val="en-us" w:eastAsia="en-us" w:bidi="en-us"/>
      </w:rPr>
    </w:lvl>
    <w:lvl w:ilvl="8">
      <w:start w:val="0"/>
      <w:numFmt w:val="bullet"/>
      <w:lvlText w:val="•"/>
      <w:lvlJc w:val="left"/>
      <w:pPr>
        <w:ind w:left="4543" w:hanging="361"/>
      </w:pPr>
      <w:rPr>
        <w:rFonts w:hint="default"/>
        <w:lang w:val="en-us" w:eastAsia="en-us" w:bidi="en-us"/>
      </w:rPr>
    </w:lvl>
  </w:abstractNum>
  <w:abstractNum w:abstractNumId="2">
    <w:multiLevelType w:val="hybridMultilevel"/>
    <w:lvl w:ilvl="0">
      <w:start w:val="0"/>
      <w:numFmt w:val="bullet"/>
      <w:lvlText w:val="-"/>
      <w:lvlJc w:val="left"/>
      <w:pPr>
        <w:ind w:left="504" w:hanging="360"/>
      </w:pPr>
      <w:rPr>
        <w:rFonts w:hint="default" w:ascii="Times New Roman" w:hAnsi="Times New Roman" w:eastAsia="Times New Roman" w:cs="Times New Roman"/>
        <w:color w:val="FFFFFF"/>
        <w:w w:val="99"/>
        <w:sz w:val="20"/>
        <w:szCs w:val="20"/>
        <w:lang w:val="en-us" w:eastAsia="en-us" w:bidi="en-us"/>
      </w:rPr>
    </w:lvl>
    <w:lvl w:ilvl="1">
      <w:start w:val="0"/>
      <w:numFmt w:val="bullet"/>
      <w:lvlText w:val="•"/>
      <w:lvlJc w:val="left"/>
      <w:pPr>
        <w:ind w:left="750" w:hanging="360"/>
      </w:pPr>
      <w:rPr>
        <w:rFonts w:hint="default"/>
        <w:lang w:val="en-us" w:eastAsia="en-us" w:bidi="en-us"/>
      </w:rPr>
    </w:lvl>
    <w:lvl w:ilvl="2">
      <w:start w:val="0"/>
      <w:numFmt w:val="bullet"/>
      <w:lvlText w:val="•"/>
      <w:lvlJc w:val="left"/>
      <w:pPr>
        <w:ind w:left="1001" w:hanging="360"/>
      </w:pPr>
      <w:rPr>
        <w:rFonts w:hint="default"/>
        <w:lang w:val="en-us" w:eastAsia="en-us" w:bidi="en-us"/>
      </w:rPr>
    </w:lvl>
    <w:lvl w:ilvl="3">
      <w:start w:val="0"/>
      <w:numFmt w:val="bullet"/>
      <w:lvlText w:val="•"/>
      <w:lvlJc w:val="left"/>
      <w:pPr>
        <w:ind w:left="1252" w:hanging="360"/>
      </w:pPr>
      <w:rPr>
        <w:rFonts w:hint="default"/>
        <w:lang w:val="en-us" w:eastAsia="en-us" w:bidi="en-us"/>
      </w:rPr>
    </w:lvl>
    <w:lvl w:ilvl="4">
      <w:start w:val="0"/>
      <w:numFmt w:val="bullet"/>
      <w:lvlText w:val="•"/>
      <w:lvlJc w:val="left"/>
      <w:pPr>
        <w:ind w:left="1503" w:hanging="360"/>
      </w:pPr>
      <w:rPr>
        <w:rFonts w:hint="default"/>
        <w:lang w:val="en-us" w:eastAsia="en-us" w:bidi="en-us"/>
      </w:rPr>
    </w:lvl>
    <w:lvl w:ilvl="5">
      <w:start w:val="0"/>
      <w:numFmt w:val="bullet"/>
      <w:lvlText w:val="•"/>
      <w:lvlJc w:val="left"/>
      <w:pPr>
        <w:ind w:left="1754" w:hanging="360"/>
      </w:pPr>
      <w:rPr>
        <w:rFonts w:hint="default"/>
        <w:lang w:val="en-us" w:eastAsia="en-us" w:bidi="en-us"/>
      </w:rPr>
    </w:lvl>
    <w:lvl w:ilvl="6">
      <w:start w:val="0"/>
      <w:numFmt w:val="bullet"/>
      <w:lvlText w:val="•"/>
      <w:lvlJc w:val="left"/>
      <w:pPr>
        <w:ind w:left="2005" w:hanging="360"/>
      </w:pPr>
      <w:rPr>
        <w:rFonts w:hint="default"/>
        <w:lang w:val="en-us" w:eastAsia="en-us" w:bidi="en-us"/>
      </w:rPr>
    </w:lvl>
    <w:lvl w:ilvl="7">
      <w:start w:val="0"/>
      <w:numFmt w:val="bullet"/>
      <w:lvlText w:val="•"/>
      <w:lvlJc w:val="left"/>
      <w:pPr>
        <w:ind w:left="2256" w:hanging="360"/>
      </w:pPr>
      <w:rPr>
        <w:rFonts w:hint="default"/>
        <w:lang w:val="en-us" w:eastAsia="en-us" w:bidi="en-us"/>
      </w:rPr>
    </w:lvl>
    <w:lvl w:ilvl="8">
      <w:start w:val="0"/>
      <w:numFmt w:val="bullet"/>
      <w:lvlText w:val="•"/>
      <w:lvlJc w:val="left"/>
      <w:pPr>
        <w:ind w:left="2507" w:hanging="360"/>
      </w:pPr>
      <w:rPr>
        <w:rFonts w:hint="default"/>
        <w:lang w:val="en-us" w:eastAsia="en-us" w:bidi="en-us"/>
      </w:rPr>
    </w:lvl>
  </w:abstractNum>
  <w:abstractNum w:abstractNumId="3">
    <w:multiLevelType w:val="hybridMultilevel"/>
    <w:lvl w:ilvl="0">
      <w:start w:val="0"/>
      <w:numFmt w:val="bullet"/>
      <w:lvlText w:val=""/>
      <w:lvlJc w:val="left"/>
      <w:pPr>
        <w:ind w:left="1100" w:hanging="360"/>
      </w:pPr>
      <w:rPr>
        <w:rFonts w:hint="default"/>
        <w:w w:val="100"/>
        <w:lang w:val="en-us" w:eastAsia="en-us" w:bidi="en-us"/>
      </w:rPr>
    </w:lvl>
    <w:lvl w:ilvl="1">
      <w:start w:val="0"/>
      <w:numFmt w:val="bullet"/>
      <w:lvlText w:val=""/>
      <w:lvlJc w:val="left"/>
      <w:pPr>
        <w:ind w:left="1460" w:hanging="360"/>
      </w:pPr>
      <w:rPr>
        <w:rFonts w:hint="default" w:ascii="Symbol" w:hAnsi="Symbol" w:eastAsia="Symbol" w:cs="Symbol"/>
        <w:color w:val="767070"/>
        <w:w w:val="100"/>
        <w:sz w:val="22"/>
        <w:szCs w:val="22"/>
        <w:lang w:val="en-us" w:eastAsia="en-us" w:bidi="en-us"/>
      </w:rPr>
    </w:lvl>
    <w:lvl w:ilvl="2">
      <w:start w:val="0"/>
      <w:numFmt w:val="bullet"/>
      <w:lvlText w:val="•"/>
      <w:lvlJc w:val="left"/>
      <w:pPr>
        <w:ind w:left="2531" w:hanging="360"/>
      </w:pPr>
      <w:rPr>
        <w:rFonts w:hint="default"/>
        <w:lang w:val="en-us" w:eastAsia="en-us" w:bidi="en-us"/>
      </w:rPr>
    </w:lvl>
    <w:lvl w:ilvl="3">
      <w:start w:val="0"/>
      <w:numFmt w:val="bullet"/>
      <w:lvlText w:val="•"/>
      <w:lvlJc w:val="left"/>
      <w:pPr>
        <w:ind w:left="3603" w:hanging="360"/>
      </w:pPr>
      <w:rPr>
        <w:rFonts w:hint="default"/>
        <w:lang w:val="en-us" w:eastAsia="en-us" w:bidi="en-us"/>
      </w:rPr>
    </w:lvl>
    <w:lvl w:ilvl="4">
      <w:start w:val="0"/>
      <w:numFmt w:val="bullet"/>
      <w:lvlText w:val="•"/>
      <w:lvlJc w:val="left"/>
      <w:pPr>
        <w:ind w:left="4675" w:hanging="360"/>
      </w:pPr>
      <w:rPr>
        <w:rFonts w:hint="default"/>
        <w:lang w:val="en-us" w:eastAsia="en-us" w:bidi="en-us"/>
      </w:rPr>
    </w:lvl>
    <w:lvl w:ilvl="5">
      <w:start w:val="0"/>
      <w:numFmt w:val="bullet"/>
      <w:lvlText w:val="•"/>
      <w:lvlJc w:val="left"/>
      <w:pPr>
        <w:ind w:left="5747" w:hanging="360"/>
      </w:pPr>
      <w:rPr>
        <w:rFonts w:hint="default"/>
        <w:lang w:val="en-us" w:eastAsia="en-us" w:bidi="en-us"/>
      </w:rPr>
    </w:lvl>
    <w:lvl w:ilvl="6">
      <w:start w:val="0"/>
      <w:numFmt w:val="bullet"/>
      <w:lvlText w:val="•"/>
      <w:lvlJc w:val="left"/>
      <w:pPr>
        <w:ind w:left="6819" w:hanging="360"/>
      </w:pPr>
      <w:rPr>
        <w:rFonts w:hint="default"/>
        <w:lang w:val="en-us" w:eastAsia="en-us" w:bidi="en-us"/>
      </w:rPr>
    </w:lvl>
    <w:lvl w:ilvl="7">
      <w:start w:val="0"/>
      <w:numFmt w:val="bullet"/>
      <w:lvlText w:val="•"/>
      <w:lvlJc w:val="left"/>
      <w:pPr>
        <w:ind w:left="7890" w:hanging="360"/>
      </w:pPr>
      <w:rPr>
        <w:rFonts w:hint="default"/>
        <w:lang w:val="en-us" w:eastAsia="en-us" w:bidi="en-us"/>
      </w:rPr>
    </w:lvl>
    <w:lvl w:ilvl="8">
      <w:start w:val="0"/>
      <w:numFmt w:val="bullet"/>
      <w:lvlText w:val="•"/>
      <w:lvlJc w:val="left"/>
      <w:pPr>
        <w:ind w:left="8962" w:hanging="360"/>
      </w:pPr>
      <w:rPr>
        <w:rFonts w:hint="default"/>
        <w:lang w:val="en-us" w:eastAsia="en-us" w:bidi="en-us"/>
      </w:rPr>
    </w:lvl>
  </w:abstractNum>
  <w:abstractNum w:abstractNumId="1">
    <w:multiLevelType w:val="hybridMultilevel"/>
    <w:lvl w:ilvl="0">
      <w:start w:val="3"/>
      <w:numFmt w:val="decimal"/>
      <w:lvlText w:val="%1"/>
      <w:lvlJc w:val="left"/>
      <w:pPr>
        <w:ind w:left="740" w:hanging="173"/>
        <w:jc w:val="left"/>
      </w:pPr>
      <w:rPr>
        <w:rFonts w:hint="default"/>
        <w:w w:val="100"/>
        <w:u w:val="single" w:color="767070"/>
        <w:lang w:val="en-us" w:eastAsia="en-us" w:bidi="en-us"/>
      </w:rPr>
    </w:lvl>
    <w:lvl w:ilvl="1">
      <w:start w:val="0"/>
      <w:numFmt w:val="bullet"/>
      <w:lvlText w:val="•"/>
      <w:lvlJc w:val="left"/>
      <w:pPr>
        <w:ind w:left="1776" w:hanging="173"/>
      </w:pPr>
      <w:rPr>
        <w:rFonts w:hint="default"/>
        <w:lang w:val="en-us" w:eastAsia="en-us" w:bidi="en-us"/>
      </w:rPr>
    </w:lvl>
    <w:lvl w:ilvl="2">
      <w:start w:val="0"/>
      <w:numFmt w:val="bullet"/>
      <w:lvlText w:val="•"/>
      <w:lvlJc w:val="left"/>
      <w:pPr>
        <w:ind w:left="2813" w:hanging="173"/>
      </w:pPr>
      <w:rPr>
        <w:rFonts w:hint="default"/>
        <w:lang w:val="en-us" w:eastAsia="en-us" w:bidi="en-us"/>
      </w:rPr>
    </w:lvl>
    <w:lvl w:ilvl="3">
      <w:start w:val="0"/>
      <w:numFmt w:val="bullet"/>
      <w:lvlText w:val="•"/>
      <w:lvlJc w:val="left"/>
      <w:pPr>
        <w:ind w:left="3849" w:hanging="173"/>
      </w:pPr>
      <w:rPr>
        <w:rFonts w:hint="default"/>
        <w:lang w:val="en-us" w:eastAsia="en-us" w:bidi="en-us"/>
      </w:rPr>
    </w:lvl>
    <w:lvl w:ilvl="4">
      <w:start w:val="0"/>
      <w:numFmt w:val="bullet"/>
      <w:lvlText w:val="•"/>
      <w:lvlJc w:val="left"/>
      <w:pPr>
        <w:ind w:left="4886" w:hanging="173"/>
      </w:pPr>
      <w:rPr>
        <w:rFonts w:hint="default"/>
        <w:lang w:val="en-us" w:eastAsia="en-us" w:bidi="en-us"/>
      </w:rPr>
    </w:lvl>
    <w:lvl w:ilvl="5">
      <w:start w:val="0"/>
      <w:numFmt w:val="bullet"/>
      <w:lvlText w:val="•"/>
      <w:lvlJc w:val="left"/>
      <w:pPr>
        <w:ind w:left="5923" w:hanging="173"/>
      </w:pPr>
      <w:rPr>
        <w:rFonts w:hint="default"/>
        <w:lang w:val="en-us" w:eastAsia="en-us" w:bidi="en-us"/>
      </w:rPr>
    </w:lvl>
    <w:lvl w:ilvl="6">
      <w:start w:val="0"/>
      <w:numFmt w:val="bullet"/>
      <w:lvlText w:val="•"/>
      <w:lvlJc w:val="left"/>
      <w:pPr>
        <w:ind w:left="6959" w:hanging="173"/>
      </w:pPr>
      <w:rPr>
        <w:rFonts w:hint="default"/>
        <w:lang w:val="en-us" w:eastAsia="en-us" w:bidi="en-us"/>
      </w:rPr>
    </w:lvl>
    <w:lvl w:ilvl="7">
      <w:start w:val="0"/>
      <w:numFmt w:val="bullet"/>
      <w:lvlText w:val="•"/>
      <w:lvlJc w:val="left"/>
      <w:pPr>
        <w:ind w:left="7996" w:hanging="173"/>
      </w:pPr>
      <w:rPr>
        <w:rFonts w:hint="default"/>
        <w:lang w:val="en-us" w:eastAsia="en-us" w:bidi="en-us"/>
      </w:rPr>
    </w:lvl>
    <w:lvl w:ilvl="8">
      <w:start w:val="0"/>
      <w:numFmt w:val="bullet"/>
      <w:lvlText w:val="•"/>
      <w:lvlJc w:val="left"/>
      <w:pPr>
        <w:ind w:left="9033" w:hanging="173"/>
      </w:pPr>
      <w:rPr>
        <w:rFonts w:hint="default"/>
        <w:lang w:val="en-us" w:eastAsia="en-us" w:bidi="en-us"/>
      </w:rPr>
    </w:lvl>
  </w:abstractNum>
  <w:abstractNum w:abstractNumId="0">
    <w:multiLevelType w:val="hybridMultilevel"/>
    <w:lvl w:ilvl="0">
      <w:start w:val="1"/>
      <w:numFmt w:val="decimal"/>
      <w:lvlText w:val="%1."/>
      <w:lvlJc w:val="left"/>
      <w:pPr>
        <w:ind w:left="740" w:hanging="221"/>
        <w:jc w:val="left"/>
      </w:pPr>
      <w:rPr>
        <w:rFonts w:hint="default"/>
        <w:w w:val="100"/>
        <w:u w:val="single" w:color="767070"/>
        <w:lang w:val="en-us" w:eastAsia="en-us" w:bidi="en-us"/>
      </w:rPr>
    </w:lvl>
    <w:lvl w:ilvl="1">
      <w:start w:val="0"/>
      <w:numFmt w:val="bullet"/>
      <w:lvlText w:val="•"/>
      <w:lvlJc w:val="left"/>
      <w:pPr>
        <w:ind w:left="1776" w:hanging="221"/>
      </w:pPr>
      <w:rPr>
        <w:rFonts w:hint="default"/>
        <w:lang w:val="en-us" w:eastAsia="en-us" w:bidi="en-us"/>
      </w:rPr>
    </w:lvl>
    <w:lvl w:ilvl="2">
      <w:start w:val="0"/>
      <w:numFmt w:val="bullet"/>
      <w:lvlText w:val="•"/>
      <w:lvlJc w:val="left"/>
      <w:pPr>
        <w:ind w:left="2813" w:hanging="221"/>
      </w:pPr>
      <w:rPr>
        <w:rFonts w:hint="default"/>
        <w:lang w:val="en-us" w:eastAsia="en-us" w:bidi="en-us"/>
      </w:rPr>
    </w:lvl>
    <w:lvl w:ilvl="3">
      <w:start w:val="0"/>
      <w:numFmt w:val="bullet"/>
      <w:lvlText w:val="•"/>
      <w:lvlJc w:val="left"/>
      <w:pPr>
        <w:ind w:left="3849" w:hanging="221"/>
      </w:pPr>
      <w:rPr>
        <w:rFonts w:hint="default"/>
        <w:lang w:val="en-us" w:eastAsia="en-us" w:bidi="en-us"/>
      </w:rPr>
    </w:lvl>
    <w:lvl w:ilvl="4">
      <w:start w:val="0"/>
      <w:numFmt w:val="bullet"/>
      <w:lvlText w:val="•"/>
      <w:lvlJc w:val="left"/>
      <w:pPr>
        <w:ind w:left="4886" w:hanging="221"/>
      </w:pPr>
      <w:rPr>
        <w:rFonts w:hint="default"/>
        <w:lang w:val="en-us" w:eastAsia="en-us" w:bidi="en-us"/>
      </w:rPr>
    </w:lvl>
    <w:lvl w:ilvl="5">
      <w:start w:val="0"/>
      <w:numFmt w:val="bullet"/>
      <w:lvlText w:val="•"/>
      <w:lvlJc w:val="left"/>
      <w:pPr>
        <w:ind w:left="5923" w:hanging="221"/>
      </w:pPr>
      <w:rPr>
        <w:rFonts w:hint="default"/>
        <w:lang w:val="en-us" w:eastAsia="en-us" w:bidi="en-us"/>
      </w:rPr>
    </w:lvl>
    <w:lvl w:ilvl="6">
      <w:start w:val="0"/>
      <w:numFmt w:val="bullet"/>
      <w:lvlText w:val="•"/>
      <w:lvlJc w:val="left"/>
      <w:pPr>
        <w:ind w:left="6959" w:hanging="221"/>
      </w:pPr>
      <w:rPr>
        <w:rFonts w:hint="default"/>
        <w:lang w:val="en-us" w:eastAsia="en-us" w:bidi="en-us"/>
      </w:rPr>
    </w:lvl>
    <w:lvl w:ilvl="7">
      <w:start w:val="0"/>
      <w:numFmt w:val="bullet"/>
      <w:lvlText w:val="•"/>
      <w:lvlJc w:val="left"/>
      <w:pPr>
        <w:ind w:left="7996" w:hanging="221"/>
      </w:pPr>
      <w:rPr>
        <w:rFonts w:hint="default"/>
        <w:lang w:val="en-us" w:eastAsia="en-us" w:bidi="en-us"/>
      </w:rPr>
    </w:lvl>
    <w:lvl w:ilvl="8">
      <w:start w:val="0"/>
      <w:numFmt w:val="bullet"/>
      <w:lvlText w:val="•"/>
      <w:lvlJc w:val="left"/>
      <w:pPr>
        <w:ind w:left="9033" w:hanging="221"/>
      </w:pPr>
      <w:rPr>
        <w:rFonts w:hint="default"/>
        <w:lang w:val="en-us" w:eastAsia="en-us" w:bidi="en-us"/>
      </w:rPr>
    </w:lvl>
  </w:abstractNum>
  <w:num w:numId="6">
    <w:abstractNumId w:val="5"/>
  </w:num>
  <w:num w:numId="5">
    <w:abstractNumId w:val="4"/>
  </w:num>
  <w:num w:numId="3">
    <w:abstractNumId w:val="2"/>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n-us" w:eastAsia="en-us" w:bidi="en-us"/>
    </w:rPr>
  </w:style>
  <w:style w:styleId="TOC1" w:type="paragraph">
    <w:name w:val="TOC 1"/>
    <w:basedOn w:val="Normal"/>
    <w:uiPriority w:val="1"/>
    <w:qFormat/>
    <w:pPr>
      <w:spacing w:before="38"/>
      <w:ind w:left="740"/>
    </w:pPr>
    <w:rPr>
      <w:rFonts w:ascii="Gill Sans MT" w:hAnsi="Gill Sans MT" w:eastAsia="Gill Sans MT" w:cs="Gill Sans MT"/>
      <w:b/>
      <w:bCs/>
      <w:sz w:val="22"/>
      <w:szCs w:val="22"/>
      <w:lang w:val="en-us" w:eastAsia="en-us" w:bidi="en-us"/>
    </w:rPr>
  </w:style>
  <w:style w:styleId="TOC2" w:type="paragraph">
    <w:name w:val="TOC 2"/>
    <w:basedOn w:val="Normal"/>
    <w:uiPriority w:val="1"/>
    <w:qFormat/>
    <w:pPr>
      <w:spacing w:before="42"/>
      <w:ind w:left="1028"/>
    </w:pPr>
    <w:rPr>
      <w:rFonts w:ascii="Gill Sans MT" w:hAnsi="Gill Sans MT" w:eastAsia="Gill Sans MT" w:cs="Gill Sans MT"/>
      <w:b/>
      <w:bCs/>
      <w:sz w:val="22"/>
      <w:szCs w:val="22"/>
      <w:lang w:val="en-us" w:eastAsia="en-us" w:bidi="en-us"/>
    </w:rPr>
  </w:style>
  <w:style w:styleId="TOC3" w:type="paragraph">
    <w:name w:val="TOC 3"/>
    <w:basedOn w:val="Normal"/>
    <w:uiPriority w:val="1"/>
    <w:qFormat/>
    <w:pPr>
      <w:spacing w:line="255" w:lineRule="exact"/>
      <w:ind w:left="1028"/>
    </w:pPr>
    <w:rPr>
      <w:rFonts w:ascii="Gill Sans MT" w:hAnsi="Gill Sans MT" w:eastAsia="Gill Sans MT" w:cs="Gill Sans MT"/>
      <w:sz w:val="22"/>
      <w:szCs w:val="22"/>
      <w:lang w:val="en-us" w:eastAsia="en-us" w:bidi="en-us"/>
    </w:rPr>
  </w:style>
  <w:style w:styleId="TOC4" w:type="paragraph">
    <w:name w:val="TOC 4"/>
    <w:basedOn w:val="Normal"/>
    <w:uiPriority w:val="1"/>
    <w:qFormat/>
    <w:pPr>
      <w:ind w:left="1892" w:right="1534" w:hanging="576"/>
    </w:pPr>
    <w:rPr>
      <w:rFonts w:ascii="Gill Sans MT" w:hAnsi="Gill Sans MT" w:eastAsia="Gill Sans MT" w:cs="Gill Sans MT"/>
      <w:sz w:val="22"/>
      <w:szCs w:val="22"/>
      <w:lang w:val="en-us" w:eastAsia="en-us" w:bidi="en-us"/>
    </w:rPr>
  </w:style>
  <w:style w:styleId="BodyText" w:type="paragraph">
    <w:name w:val="Body Text"/>
    <w:basedOn w:val="Normal"/>
    <w:uiPriority w:val="1"/>
    <w:qFormat/>
    <w:pPr/>
    <w:rPr>
      <w:rFonts w:ascii="Gill Sans MT" w:hAnsi="Gill Sans MT" w:eastAsia="Gill Sans MT" w:cs="Gill Sans MT"/>
      <w:sz w:val="22"/>
      <w:szCs w:val="22"/>
      <w:lang w:val="en-us" w:eastAsia="en-us" w:bidi="en-us"/>
    </w:rPr>
  </w:style>
  <w:style w:styleId="Heading1" w:type="paragraph">
    <w:name w:val="Heading 1"/>
    <w:basedOn w:val="Normal"/>
    <w:uiPriority w:val="1"/>
    <w:qFormat/>
    <w:pPr>
      <w:ind w:left="520"/>
      <w:outlineLvl w:val="1"/>
    </w:pPr>
    <w:rPr>
      <w:rFonts w:ascii="Gill Sans MT" w:hAnsi="Gill Sans MT" w:eastAsia="Gill Sans MT" w:cs="Gill Sans MT"/>
      <w:sz w:val="52"/>
      <w:szCs w:val="52"/>
      <w:lang w:val="en-us" w:eastAsia="en-us" w:bidi="en-us"/>
    </w:rPr>
  </w:style>
  <w:style w:styleId="Heading2" w:type="paragraph">
    <w:name w:val="Heading 2"/>
    <w:basedOn w:val="Normal"/>
    <w:uiPriority w:val="1"/>
    <w:qFormat/>
    <w:pPr>
      <w:spacing w:line="464" w:lineRule="exact"/>
      <w:ind w:left="740"/>
      <w:outlineLvl w:val="2"/>
    </w:pPr>
    <w:rPr>
      <w:rFonts w:ascii="Gill Sans MT" w:hAnsi="Gill Sans MT" w:eastAsia="Gill Sans MT" w:cs="Gill Sans MT"/>
      <w:sz w:val="40"/>
      <w:szCs w:val="40"/>
      <w:lang w:val="en-us" w:eastAsia="en-us" w:bidi="en-us"/>
    </w:rPr>
  </w:style>
  <w:style w:styleId="Heading3" w:type="paragraph">
    <w:name w:val="Heading 3"/>
    <w:basedOn w:val="Normal"/>
    <w:uiPriority w:val="1"/>
    <w:qFormat/>
    <w:pPr>
      <w:spacing w:before="72"/>
      <w:ind w:left="520"/>
      <w:outlineLvl w:val="3"/>
    </w:pPr>
    <w:rPr>
      <w:rFonts w:ascii="Gill Sans MT" w:hAnsi="Gill Sans MT" w:eastAsia="Gill Sans MT" w:cs="Gill Sans MT"/>
      <w:b/>
      <w:bCs/>
      <w:sz w:val="28"/>
      <w:szCs w:val="28"/>
      <w:lang w:val="en-us" w:eastAsia="en-us" w:bidi="en-us"/>
    </w:rPr>
  </w:style>
  <w:style w:styleId="Heading4" w:type="paragraph">
    <w:name w:val="Heading 4"/>
    <w:basedOn w:val="Normal"/>
    <w:uiPriority w:val="1"/>
    <w:qFormat/>
    <w:pPr>
      <w:ind w:left="740"/>
      <w:outlineLvl w:val="4"/>
    </w:pPr>
    <w:rPr>
      <w:rFonts w:ascii="Gill Sans MT" w:hAnsi="Gill Sans MT" w:eastAsia="Gill Sans MT" w:cs="Gill Sans MT"/>
      <w:sz w:val="24"/>
      <w:szCs w:val="24"/>
      <w:lang w:val="en-us" w:eastAsia="en-us" w:bidi="en-us"/>
    </w:rPr>
  </w:style>
  <w:style w:styleId="Heading5" w:type="paragraph">
    <w:name w:val="Heading 5"/>
    <w:basedOn w:val="Normal"/>
    <w:uiPriority w:val="1"/>
    <w:qFormat/>
    <w:pPr>
      <w:ind w:left="740"/>
      <w:outlineLvl w:val="5"/>
    </w:pPr>
    <w:rPr>
      <w:rFonts w:ascii="Gill Sans MT" w:hAnsi="Gill Sans MT" w:eastAsia="Gill Sans MT" w:cs="Gill Sans MT"/>
      <w:b/>
      <w:bCs/>
      <w:sz w:val="22"/>
      <w:szCs w:val="22"/>
      <w:lang w:val="en-us" w:eastAsia="en-us" w:bidi="en-us"/>
    </w:rPr>
  </w:style>
  <w:style w:styleId="Heading6" w:type="paragraph">
    <w:name w:val="Heading 6"/>
    <w:basedOn w:val="Normal"/>
    <w:uiPriority w:val="1"/>
    <w:qFormat/>
    <w:pPr>
      <w:ind w:left="740"/>
      <w:outlineLvl w:val="6"/>
    </w:pPr>
    <w:rPr>
      <w:rFonts w:ascii="Gill Sans MT" w:hAnsi="Gill Sans MT" w:eastAsia="Gill Sans MT" w:cs="Gill Sans MT"/>
      <w:b/>
      <w:bCs/>
      <w:i/>
      <w:sz w:val="22"/>
      <w:szCs w:val="22"/>
      <w:u w:val="single" w:color="000000"/>
      <w:lang w:val="en-us" w:eastAsia="en-us" w:bidi="en-us"/>
    </w:rPr>
  </w:style>
  <w:style w:styleId="ListParagraph" w:type="paragraph">
    <w:name w:val="List Paragraph"/>
    <w:basedOn w:val="Normal"/>
    <w:uiPriority w:val="1"/>
    <w:qFormat/>
    <w:pPr>
      <w:ind w:left="1100" w:hanging="360"/>
    </w:pPr>
    <w:rPr>
      <w:rFonts w:ascii="Gill Sans MT" w:hAnsi="Gill Sans MT" w:eastAsia="Gill Sans MT" w:cs="Gill Sans MT"/>
      <w:lang w:val="en-us" w:eastAsia="en-us" w:bidi="en-us"/>
    </w:rPr>
  </w:style>
  <w:style w:styleId="TableParagraph" w:type="paragraph">
    <w:name w:val="Table Paragraph"/>
    <w:basedOn w:val="Normal"/>
    <w:uiPriority w:val="1"/>
    <w:qFormat/>
    <w:pPr/>
    <w:rPr>
      <w:rFonts w:ascii="Gill Sans MT" w:hAnsi="Gill Sans MT" w:eastAsia="Gill Sans MT" w:cs="Gill Sans MT"/>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international.development@tetratech.com" TargetMode="External"/><Relationship Id="rId8" Type="http://schemas.openxmlformats.org/officeDocument/2006/relationships/hyperlink" Target="mailto:brian.kemple@prpkos.com" TargetMode="External"/><Relationship Id="rId9" Type="http://schemas.openxmlformats.org/officeDocument/2006/relationships/hyperlink" Target="mailto:jack.keefe@tetratech.com" TargetMode="External"/><Relationship Id="rId10" Type="http://schemas.openxmlformats.org/officeDocument/2006/relationships/hyperlink" Target="mailto:Thomas.McCann@tetratech.com" TargetMode="External"/><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konsultimet.rks-gov.net/viewConsult.php?ConsultationID=40473" TargetMode="External"/><Relationship Id="rId16" Type="http://schemas.openxmlformats.org/officeDocument/2006/relationships/hyperlink" Target="http://kryeministri-ks.net/en/government-of-kosovo-approved-the-draft-law-on-salaries/"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jus.igjk.rks-gov.net/774/" TargetMode="External"/><Relationship Id="rId20" Type="http://schemas.openxmlformats.org/officeDocument/2006/relationships/hyperlink" Target="http://www.gjyqesori-rks.org/sq/courts/report/list?id=1&amp;amp;type=1" TargetMode="External"/><Relationship Id="rId21" Type="http://schemas.openxmlformats.org/officeDocument/2006/relationships/image" Target="media/image8.jpeg"/><Relationship Id="rId22" Type="http://schemas.openxmlformats.org/officeDocument/2006/relationships/hyperlink" Target="https://kallxo.com/projektligji-qe-prek-te-drejtat-e-grave-ne-prone-kalon-pengesen-e-fundit-ne-komision/" TargetMode="External"/><Relationship Id="rId23" Type="http://schemas.openxmlformats.org/officeDocument/2006/relationships/hyperlink" Target="https://kallxo.com/beteja-e-arejta-gashit-per-ndarjen-e-pasurise-me-ish-bashkeshortin-serish-nis-nga-fillimi/" TargetMode="External"/><Relationship Id="rId24" Type="http://schemas.openxmlformats.org/officeDocument/2006/relationships/hyperlink" Target="https://kallxo.com/paraburgim-te-dyshuarit-per-kanosje-te-nje-gruaje-per-shkak-te-prones/" TargetMode="External"/><Relationship Id="rId25" Type="http://schemas.openxmlformats.org/officeDocument/2006/relationships/hyperlink" Target="https://kallxo.com/bie-numri-pronave-te-regjistruara-ne-emer-te-dy-bashkeshorteve/" TargetMode="External"/><Relationship Id="rId26" Type="http://schemas.openxmlformats.org/officeDocument/2006/relationships/hyperlink" Target="https://kallxo.com/usaid-prezanton-vendimet-e-gykates-evropiane-per-te-drejtat-e-njeriut" TargetMode="External"/><Relationship Id="rId27" Type="http://schemas.openxmlformats.org/officeDocument/2006/relationships/hyperlink" Target="https://kallxo.com/perkthehen-ne-shqip-e-serbisht-144-raste-te-vendimeve-te-gjykates-europiane/" TargetMode="External"/><Relationship Id="rId28" Type="http://schemas.openxmlformats.org/officeDocument/2006/relationships/hyperlink" Target="https://kallxo.com/shtate-kusherinj-perfshihen-ne-rrahje-per-ceshtje-pronesore/" TargetMode="External"/><Relationship Id="rId29" Type="http://schemas.openxmlformats.org/officeDocument/2006/relationships/hyperlink" Target="https://kallxo.com/paraburgim-vellezerve-nga-mamusha-qe-u-perleshen-per-probleme-pronesore/" TargetMode="External"/><Relationship Id="rId30" Type="http://schemas.openxmlformats.org/officeDocument/2006/relationships/hyperlink" Target="https://kallxo.com/rrahen-per-prone-ne-peje/" TargetMode="External"/><Relationship Id="rId31" Type="http://schemas.openxmlformats.org/officeDocument/2006/relationships/hyperlink" Target="https://kallxo.com/ministri-i-drejtesise-paralajmeron-ligjin-per-pronat-publike/" TargetMode="External"/><Relationship Id="rId32" Type="http://schemas.openxmlformats.org/officeDocument/2006/relationships/hyperlink" Target="https://kallxo.com/gjnk/projektligji-per-noterine-dhe-te-drejtat-e-grave-ne-prone/" TargetMode="External"/><Relationship Id="rId33" Type="http://schemas.openxmlformats.org/officeDocument/2006/relationships/hyperlink" Target="https://kallxo.com/prishtine-gruaja-kercenohet-ne-pike-te-dites-per-pronen/" TargetMode="External"/><Relationship Id="rId34" Type="http://schemas.openxmlformats.org/officeDocument/2006/relationships/hyperlink" Target="https://kallxo.com/hipotekat-ne-kosove-nuk-i-blen-askush/" TargetMode="External"/><Relationship Id="rId35" Type="http://schemas.openxmlformats.org/officeDocument/2006/relationships/hyperlink" Target="https://kallxo.com/llapushnik-mosmarreveshje-per-pronen-arrestohet-nje-person-per-kanosje/" TargetMode="External"/><Relationship Id="rId36" Type="http://schemas.openxmlformats.org/officeDocument/2006/relationships/image" Target="media/image9.jpeg"/><Relationship Id="rId37" Type="http://schemas.openxmlformats.org/officeDocument/2006/relationships/image" Target="media/image10.jpeg"/><Relationship Id="rId38" Type="http://schemas.openxmlformats.org/officeDocument/2006/relationships/image" Target="media/image11.jpeg"/><Relationship Id="rId39" Type="http://schemas.openxmlformats.org/officeDocument/2006/relationships/image" Target="media/image12.jpeg"/><Relationship Id="rId40" Type="http://schemas.openxmlformats.org/officeDocument/2006/relationships/image" Target="media/image13.jpeg"/><Relationship Id="rId41" Type="http://schemas.openxmlformats.org/officeDocument/2006/relationships/image" Target="media/image14.jpeg"/><Relationship Id="rId42" Type="http://schemas.openxmlformats.org/officeDocument/2006/relationships/hyperlink" Target="http://prishtinaonline.com/uploads/alb_si_ta_regjistroj_pronen_te_cilen_porsa_e_kam_blere.pdf" TargetMode="External"/><Relationship Id="rId43" Type="http://schemas.openxmlformats.org/officeDocument/2006/relationships/hyperlink" Target="https://kk.rks-gov.net/fushekosove/kadaster/udhezuesit-per-regjistrim-te-prones/" TargetMode="External"/><Relationship Id="rId44" Type="http://schemas.openxmlformats.org/officeDocument/2006/relationships/hyperlink" Target="https://kk.rks-gov.net/gjakove/kadastri-3/dokumentet-dk/" TargetMode="External"/><Relationship Id="rId45" Type="http://schemas.openxmlformats.org/officeDocument/2006/relationships/hyperlink" Target="https://kk.rks-gov.net/skenderaj/wp-content/uploads/sites/27/2018/08/combinepdf.pdf" TargetMode="External"/><Relationship Id="rId46" Type="http://schemas.openxmlformats.org/officeDocument/2006/relationships/hyperlink" Target="https://kk.rks-gov.net/mitroviceejugut/wp-content/uploads/sites/18/2018/01/Hapat-se-si-duhet-te-regjistrohet-prona.pdf" TargetMode="External"/><Relationship Id="rId47" Type="http://schemas.openxmlformats.org/officeDocument/2006/relationships/hyperlink" Target="https://kk.rks-gov.net/kline/category/dokumente/" TargetMode="External"/><Relationship Id="rId48" Type="http://schemas.openxmlformats.org/officeDocument/2006/relationships/hyperlink" Target="https://kk.rks-gov.net/istog/sherbimet/broshura/" TargetMode="External"/><Relationship Id="rId49" Type="http://schemas.openxmlformats.org/officeDocument/2006/relationships/hyperlink" Target="https://kk.rks-gov.net/malisheve/malisheve-2/broshura/" TargetMode="External"/><Relationship Id="rId50" Type="http://schemas.openxmlformats.org/officeDocument/2006/relationships/hyperlink" Target="http://www.kca-ks.org/web/10179/165" TargetMode="External"/><Relationship Id="rId51" Type="http://schemas.openxmlformats.org/officeDocument/2006/relationships/image" Target="media/image15.png"/><Relationship Id="rId52" Type="http://schemas.openxmlformats.org/officeDocument/2006/relationships/footer" Target="footer2.xml"/><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png"/><Relationship Id="rId58" Type="http://schemas.openxmlformats.org/officeDocument/2006/relationships/image" Target="media/image21.png"/><Relationship Id="rId59" Type="http://schemas.openxmlformats.org/officeDocument/2006/relationships/image" Target="media/image22.png"/><Relationship Id="rId60" Type="http://schemas.openxmlformats.org/officeDocument/2006/relationships/image" Target="media/image23.png"/><Relationship Id="rId61" Type="http://schemas.openxmlformats.org/officeDocument/2006/relationships/image" Target="media/image24.png"/><Relationship Id="rId62" Type="http://schemas.openxmlformats.org/officeDocument/2006/relationships/image" Target="media/image25.png"/><Relationship Id="rId63" Type="http://schemas.openxmlformats.org/officeDocument/2006/relationships/image" Target="media/image26.png"/><Relationship Id="rId64" Type="http://schemas.openxmlformats.org/officeDocument/2006/relationships/image" Target="media/image27.png"/><Relationship Id="rId65" Type="http://schemas.openxmlformats.org/officeDocument/2006/relationships/image" Target="media/image28.png"/><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image" Target="media/image31.png"/><Relationship Id="rId69" Type="http://schemas.openxmlformats.org/officeDocument/2006/relationships/footer" Target="footer3.xml"/><Relationship Id="rId70" Type="http://schemas.openxmlformats.org/officeDocument/2006/relationships/footer" Target="footer4.xml"/><Relationship Id="rId71" Type="http://schemas.openxmlformats.org/officeDocument/2006/relationships/image" Target="media/image32.png"/><Relationship Id="rId72" Type="http://schemas.openxmlformats.org/officeDocument/2006/relationships/image" Target="media/image33.jpeg"/><Relationship Id="rId73" Type="http://schemas.openxmlformats.org/officeDocument/2006/relationships/image" Target="media/image34.png"/><Relationship Id="rId74" Type="http://schemas.openxmlformats.org/officeDocument/2006/relationships/hyperlink" Target="http://www.usaid.gov/kosovo" TargetMode="External"/><Relationship Id="rId75" Type="http://schemas.openxmlformats.org/officeDocument/2006/relationships/hyperlink" Target="http://www.usaid.gov/" TargetMode="External"/><Relationship Id="rId76" Type="http://schemas.openxmlformats.org/officeDocument/2006/relationships/footer" Target="footer5.xml"/><Relationship Id="rId77" Type="http://schemas.openxmlformats.org/officeDocument/2006/relationships/footer" Target="footer6.xml"/><Relationship Id="rId78" Type="http://schemas.openxmlformats.org/officeDocument/2006/relationships/image" Target="media/image35.png"/><Relationship Id="rId79" Type="http://schemas.openxmlformats.org/officeDocument/2006/relationships/footer" Target="footer7.xml"/><Relationship Id="rId80" Type="http://schemas.openxmlformats.org/officeDocument/2006/relationships/footer" Target="footer8.xml"/><Relationship Id="rId81" Type="http://schemas.openxmlformats.org/officeDocument/2006/relationships/hyperlink" Target="mailto:thomas.mccann@tetratech.com" TargetMode="External"/><Relationship Id="rId82" Type="http://schemas.openxmlformats.org/officeDocument/2006/relationships/hyperlink" Target="mailto:xhevat.azemi@prpkos.com" TargetMode="External"/><Relationship Id="rId83" Type="http://schemas.openxmlformats.org/officeDocument/2006/relationships/hyperlink" Target="mailto:enver.fejzullahi@prpkos.com" TargetMode="External"/><Relationship Id="rId84" Type="http://schemas.openxmlformats.org/officeDocument/2006/relationships/hyperlink" Target="mailto:merita.limani@prpkos.com" TargetMode="External"/><Relationship Id="rId85" Type="http://schemas.openxmlformats.org/officeDocument/2006/relationships/hyperlink" Target="mailto:nehat.ramadani@prpkos.com" TargetMode="External"/><Relationship Id="rId86" Type="http://schemas.openxmlformats.org/officeDocument/2006/relationships/hyperlink" Target="mailto:eremira.salihu@prpkos.com" TargetMode="External"/><Relationship Id="rId87" Type="http://schemas.openxmlformats.org/officeDocument/2006/relationships/hyperlink" Target="mailto:gent.salihu@prpkos.com" TargetMode="External"/><Relationship Id="rId88" Type="http://schemas.openxmlformats.org/officeDocument/2006/relationships/hyperlink" Target="mailto:vjosa.shkodra@prpkos.com" TargetMode="External"/><Relationship Id="rId89" Type="http://schemas.openxmlformats.org/officeDocument/2006/relationships/hyperlink" Target="mailto:driton.zeqiri@prpkos.com" TargetMode="External"/><Relationship Id="rId90" Type="http://schemas.openxmlformats.org/officeDocument/2006/relationships/hyperlink" Target="mailto:hana.limani@prpkos.com" TargetMode="External"/><Relationship Id="rId91" Type="http://schemas.openxmlformats.org/officeDocument/2006/relationships/hyperlink" Target="mailto:fadil.sadiku@prpkos.com" TargetMode="External"/><Relationship Id="rId92" Type="http://schemas.openxmlformats.org/officeDocument/2006/relationships/hyperlink" Target="mailto:sherafedin.shehu@prpkos.com" TargetMode="External"/><Relationship Id="rId93" Type="http://schemas.openxmlformats.org/officeDocument/2006/relationships/hyperlink" Target="mailto:sejdimustafa74@gmail.com" TargetMode="External"/><Relationship Id="rId94" Type="http://schemas.openxmlformats.org/officeDocument/2006/relationships/hyperlink" Target="mailto:kreshnike.zymberi@prpkos.com" TargetMode="External"/><Relationship Id="rId95" Type="http://schemas.openxmlformats.org/officeDocument/2006/relationships/hyperlink" Target="mailto:kaltrina.haliti@prpkos.com" TargetMode="External"/><Relationship Id="rId96" Type="http://schemas.openxmlformats.org/officeDocument/2006/relationships/hyperlink" Target="mailto:etleva.kelmendi@prpkos.com" TargetMode="External"/><Relationship Id="rId97" Type="http://schemas.openxmlformats.org/officeDocument/2006/relationships/hyperlink" Target="mailto:irfan.thaqi@prpkos.com" TargetMode="External"/><Relationship Id="rId98" Type="http://schemas.openxmlformats.org/officeDocument/2006/relationships/hyperlink" Target="mailto:gentian.shabani@prpkos.com" TargetMode="External"/><Relationship Id="rId99" Type="http://schemas.openxmlformats.org/officeDocument/2006/relationships/hyperlink" Target="mailto:driton.ahmeti@prpkos.com" TargetMode="External"/><Relationship Id="rId100" Type="http://schemas.openxmlformats.org/officeDocument/2006/relationships/hyperlink" Target="mailto:fatlum.halimi@prpkos.com" TargetMode="External"/><Relationship Id="rId101" Type="http://schemas.openxmlformats.org/officeDocument/2006/relationships/footer" Target="footer9.xml"/><Relationship Id="rId10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Kate</dc:creator>
  <dcterms:created xsi:type="dcterms:W3CDTF">2019-06-26T18:07:40Z</dcterms:created>
  <dcterms:modified xsi:type="dcterms:W3CDTF">2019-06-26T18:07:40Z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2013</vt:lpwstr>
  </property>
  <property fmtid="{D5CDD505-2E9C-101B-9397-08002B2CF9AE}" pid="4" name="LastSaved">
    <vt:filetime>2019-06-26T00:00:00Z</vt:filetime>
  </property>
</Properties>
</file>